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underscore" w:pos="9639"/>
        </w:tabs>
        <w:spacing w:after="0" w:line="240" w:lineRule="auto"/>
        <w:ind w:left="9639" w:hanging="9639"/>
        <w:jc w:val="center"/>
        <w:rPr>
          <w:rFonts w:ascii="Times New Roman" w:hAnsi="Times New Roman"/>
          <w:sz w:val="24"/>
          <w:szCs w:val="24"/>
        </w:rPr>
      </w:pPr>
    </w:p>
    <w:p>
      <w:pPr>
        <w:tabs>
          <w:tab w:val="left" w:leader="underscore" w:pos="9639"/>
        </w:tabs>
        <w:spacing w:after="0" w:line="240" w:lineRule="auto"/>
        <w:jc w:val="center"/>
        <w:rPr>
          <w:rFonts w:ascii="Times New Roman" w:hAnsi="Times New Roman"/>
          <w:sz w:val="24"/>
          <w:szCs w:val="24"/>
        </w:rPr>
      </w:pPr>
    </w:p>
    <w:p>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Pr>
          <w:rStyle w:val="6"/>
          <w:rFonts w:cs="Calibri"/>
          <w:b/>
          <w:sz w:val="28"/>
          <w:szCs w:val="28"/>
        </w:rPr>
        <w:t>NOTAS DE GESTIÓN ADMINISTRATIVA</w:t>
      </w:r>
      <w:r>
        <w:rPr>
          <w:rStyle w:val="6"/>
          <w:rFonts w:cs="Calibri"/>
          <w:b/>
          <w:sz w:val="28"/>
          <w:szCs w:val="28"/>
        </w:rPr>
        <w:fldChar w:fldCharType="end"/>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Los Estados Financieros de los entes públicos, proveen de información financiera a los principales usuarios de la misma, al Congreso y a los ciudadanos.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pPr>
        <w:pStyle w:val="14"/>
        <w:tabs>
          <w:tab w:val="left" w:leader="underscore" w:pos="9639"/>
        </w:tabs>
        <w:spacing w:after="0" w:line="240" w:lineRule="auto"/>
        <w:jc w:val="both"/>
        <w:rPr>
          <w:rFonts w:cs="Calibri"/>
        </w:rPr>
      </w:pPr>
    </w:p>
    <w:p>
      <w:pPr>
        <w:pStyle w:val="14"/>
        <w:numPr>
          <w:ilvl w:val="0"/>
          <w:numId w:val="1"/>
        </w:numPr>
        <w:tabs>
          <w:tab w:val="left" w:leader="underscore" w:pos="9639"/>
        </w:tabs>
        <w:spacing w:after="0" w:line="240" w:lineRule="auto"/>
        <w:jc w:val="both"/>
        <w:rPr>
          <w:rFonts w:cs="Calibri"/>
        </w:rPr>
      </w:pPr>
      <w:r>
        <w:rPr>
          <w:rFonts w:cs="Calibri"/>
        </w:rPr>
        <w:t>Las notas de gestión administrativa deben contener los siguientes puntos:</w:t>
      </w:r>
    </w:p>
    <w:p>
      <w:pPr>
        <w:tabs>
          <w:tab w:val="left" w:leader="underscore" w:pos="9639"/>
        </w:tabs>
        <w:spacing w:after="0" w:line="240" w:lineRule="auto"/>
        <w:jc w:val="both"/>
        <w:rPr>
          <w:rFonts w:cs="Calibri"/>
        </w:rPr>
      </w:pPr>
    </w:p>
    <w:sdt>
      <w:sdtPr>
        <w:rPr>
          <w:rFonts w:ascii="Calibri" w:hAnsi="Calibri" w:eastAsia="Calibri" w:cs="Times New Roman"/>
          <w:color w:val="auto"/>
          <w:sz w:val="22"/>
          <w:szCs w:val="22"/>
          <w:lang w:val="es-ES" w:eastAsia="en-US"/>
        </w:rPr>
        <w:id w:val="-191922827"/>
        <w:docPartObj>
          <w:docPartGallery w:val="Table of Contents"/>
          <w:docPartUnique/>
        </w:docPartObj>
      </w:sdtPr>
      <w:sdtEndPr>
        <w:rPr>
          <w:rFonts w:ascii="Calibri" w:hAnsi="Calibri" w:eastAsia="Calibri" w:cs="Times New Roman"/>
          <w:b/>
          <w:bCs/>
          <w:color w:val="auto"/>
          <w:sz w:val="22"/>
          <w:szCs w:val="22"/>
          <w:lang w:val="es-ES" w:eastAsia="en-US"/>
        </w:rPr>
      </w:sdtEndPr>
      <w:sdtContent>
        <w:p>
          <w:pPr>
            <w:pStyle w:val="21"/>
          </w:pPr>
          <w:r>
            <w:rPr>
              <w:lang w:val="es-ES"/>
            </w:rPr>
            <w:t>Contenido</w:t>
          </w:r>
        </w:p>
        <w:p>
          <w:pPr>
            <w:pStyle w:val="7"/>
            <w:tabs>
              <w:tab w:val="right" w:leader="dot" w:pos="9678"/>
            </w:tabs>
          </w:pPr>
          <w:r>
            <w:fldChar w:fldCharType="begin"/>
          </w:r>
          <w:r>
            <w:instrText xml:space="preserve"> TOC \o "1-3" \h \z \u </w:instrText>
          </w:r>
          <w:r>
            <w:fldChar w:fldCharType="separate"/>
          </w:r>
          <w:r>
            <w:fldChar w:fldCharType="begin"/>
          </w:r>
          <w:r>
            <w:instrText xml:space="preserve"> HYPERLINK \l "_Toc508279621" </w:instrText>
          </w:r>
          <w:r>
            <w:fldChar w:fldCharType="separate"/>
          </w:r>
          <w:r>
            <w:rPr>
              <w:rStyle w:val="6"/>
              <w:rFonts w:cstheme="minorHAnsi"/>
            </w:rPr>
            <w:t>1. Introducción:</w:t>
          </w:r>
          <w:r>
            <w:tab/>
          </w:r>
          <w:r>
            <w:fldChar w:fldCharType="begin"/>
          </w:r>
          <w:r>
            <w:instrText xml:space="preserve"> PAGEREF _Toc508279621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"_Toc508279622" </w:instrText>
          </w:r>
          <w:r>
            <w:fldChar w:fldCharType="separate"/>
          </w:r>
          <w:r>
            <w:rPr>
              <w:rStyle w:val="6"/>
              <w:rFonts w:cstheme="minorHAnsi"/>
            </w:rPr>
            <w:t>2. Describir el panorama Económico y Financiero:</w:t>
          </w:r>
          <w:r>
            <w:tab/>
          </w:r>
          <w:r>
            <w:fldChar w:fldCharType="begin"/>
          </w:r>
          <w:r>
            <w:instrText xml:space="preserve"> PAGEREF _Toc508279622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"_Toc508279623" </w:instrText>
          </w:r>
          <w:r>
            <w:fldChar w:fldCharType="separate"/>
          </w:r>
          <w:r>
            <w:rPr>
              <w:rStyle w:val="6"/>
              <w:rFonts w:cstheme="minorHAnsi"/>
            </w:rPr>
            <w:t>3. Autorización e Historia:</w:t>
          </w:r>
          <w:r>
            <w:tab/>
          </w:r>
          <w:r>
            <w:fldChar w:fldCharType="begin"/>
          </w:r>
          <w:r>
            <w:instrText xml:space="preserve"> PAGEREF _Toc508279623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"_Toc508279624" </w:instrText>
          </w:r>
          <w:r>
            <w:fldChar w:fldCharType="separate"/>
          </w:r>
          <w:r>
            <w:rPr>
              <w:rStyle w:val="6"/>
              <w:rFonts w:cstheme="minorHAnsi"/>
            </w:rPr>
            <w:t>4. Organización y Objeto Social:</w:t>
          </w:r>
          <w:r>
            <w:tab/>
          </w:r>
          <w:r>
            <w:fldChar w:fldCharType="begin"/>
          </w:r>
          <w:r>
            <w:instrText xml:space="preserve"> PAGEREF _Toc508279624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"_Toc508279625" </w:instrText>
          </w:r>
          <w:r>
            <w:fldChar w:fldCharType="separate"/>
          </w:r>
          <w:r>
            <w:rPr>
              <w:rStyle w:val="6"/>
              <w:rFonts w:cstheme="minorHAnsi"/>
            </w:rPr>
            <w:t>5. Bases de Preparación de los Estados Financieros:</w:t>
          </w:r>
          <w:r>
            <w:tab/>
          </w:r>
          <w:r>
            <w:fldChar w:fldCharType="begin"/>
          </w:r>
          <w:r>
            <w:instrText xml:space="preserve"> PAGEREF _Toc508279625 \h </w:instrText>
          </w:r>
          <w:r>
            <w:fldChar w:fldCharType="separate"/>
          </w:r>
          <w:r>
            <w:t>5</w:t>
          </w:r>
          <w:r>
            <w:fldChar w:fldCharType="end"/>
          </w:r>
          <w:r>
            <w:fldChar w:fldCharType="end"/>
          </w:r>
        </w:p>
        <w:p>
          <w:pPr>
            <w:pStyle w:val="7"/>
            <w:tabs>
              <w:tab w:val="right" w:leader="dot" w:pos="9678"/>
            </w:tabs>
          </w:pPr>
          <w:r>
            <w:fldChar w:fldCharType="begin"/>
          </w:r>
          <w:r>
            <w:instrText xml:space="preserve"> HYPERLINK \l "_Toc508279626" </w:instrText>
          </w:r>
          <w:r>
            <w:fldChar w:fldCharType="separate"/>
          </w:r>
          <w:r>
            <w:rPr>
              <w:rStyle w:val="6"/>
              <w:rFonts w:cstheme="minorHAnsi"/>
            </w:rPr>
            <w:t>6. Políticas de Contabilidad Significativas:</w:t>
          </w:r>
          <w:r>
            <w:tab/>
          </w:r>
          <w:r>
            <w:fldChar w:fldCharType="begin"/>
          </w:r>
          <w:r>
            <w:instrText xml:space="preserve"> PAGEREF _Toc508279626 \h </w:instrText>
          </w:r>
          <w:r>
            <w:fldChar w:fldCharType="separate"/>
          </w:r>
          <w:r>
            <w:t>6</w:t>
          </w:r>
          <w:r>
            <w:fldChar w:fldCharType="end"/>
          </w:r>
          <w:r>
            <w:fldChar w:fldCharType="end"/>
          </w:r>
        </w:p>
        <w:p>
          <w:pPr>
            <w:pStyle w:val="7"/>
            <w:tabs>
              <w:tab w:val="right" w:leader="dot" w:pos="9678"/>
            </w:tabs>
          </w:pPr>
          <w:r>
            <w:fldChar w:fldCharType="begin"/>
          </w:r>
          <w:r>
            <w:instrText xml:space="preserve"> HYPERLINK \l "_Toc508279627" </w:instrText>
          </w:r>
          <w:r>
            <w:fldChar w:fldCharType="separate"/>
          </w:r>
          <w:r>
            <w:rPr>
              <w:rStyle w:val="6"/>
              <w:rFonts w:cstheme="minorHAnsi"/>
            </w:rPr>
            <w:t>7. Posición en Moneda Extranjera y Protección por Riesgo Cambiario:</w:t>
          </w:r>
          <w:r>
            <w:tab/>
          </w:r>
          <w:r>
            <w:fldChar w:fldCharType="begin"/>
          </w:r>
          <w:r>
            <w:instrText xml:space="preserve"> PAGEREF _Toc508279627 \h </w:instrText>
          </w:r>
          <w:r>
            <w:fldChar w:fldCharType="separate"/>
          </w:r>
          <w:r>
            <w:t>7</w:t>
          </w:r>
          <w:r>
            <w:fldChar w:fldCharType="end"/>
          </w:r>
          <w:r>
            <w:fldChar w:fldCharType="end"/>
          </w:r>
        </w:p>
        <w:p>
          <w:pPr>
            <w:pStyle w:val="7"/>
            <w:tabs>
              <w:tab w:val="right" w:leader="dot" w:pos="9678"/>
            </w:tabs>
          </w:pPr>
          <w:r>
            <w:fldChar w:fldCharType="begin"/>
          </w:r>
          <w:r>
            <w:instrText xml:space="preserve"> HYPERLINK \l "_Toc508279628" </w:instrText>
          </w:r>
          <w:r>
            <w:fldChar w:fldCharType="separate"/>
          </w:r>
          <w:r>
            <w:rPr>
              <w:rStyle w:val="6"/>
              <w:rFonts w:cstheme="minorHAnsi"/>
            </w:rPr>
            <w:t>8. Reporte Analítico del Activo:</w:t>
          </w:r>
          <w:r>
            <w:tab/>
          </w:r>
          <w:r>
            <w:fldChar w:fldCharType="begin"/>
          </w:r>
          <w:r>
            <w:instrText xml:space="preserve"> PAGEREF _Toc508279628 \h </w:instrText>
          </w:r>
          <w:r>
            <w:fldChar w:fldCharType="separate"/>
          </w:r>
          <w:r>
            <w:t>7</w:t>
          </w:r>
          <w:r>
            <w:fldChar w:fldCharType="end"/>
          </w:r>
          <w:r>
            <w:fldChar w:fldCharType="end"/>
          </w:r>
        </w:p>
        <w:p>
          <w:pPr>
            <w:pStyle w:val="7"/>
            <w:tabs>
              <w:tab w:val="right" w:leader="dot" w:pos="9678"/>
            </w:tabs>
          </w:pPr>
          <w:r>
            <w:fldChar w:fldCharType="begin"/>
          </w:r>
          <w:r>
            <w:instrText xml:space="preserve"> HYPERLINK \l "_Toc508279629" </w:instrText>
          </w:r>
          <w:r>
            <w:fldChar w:fldCharType="separate"/>
          </w:r>
          <w:r>
            <w:rPr>
              <w:rStyle w:val="6"/>
              <w:rFonts w:cstheme="minorHAnsi"/>
            </w:rPr>
            <w:t>9. Fideicomisos, Mandatos y Análogos:</w:t>
          </w:r>
          <w:r>
            <w:tab/>
          </w:r>
          <w:r>
            <w:fldChar w:fldCharType="begin"/>
          </w:r>
          <w:r>
            <w:instrText xml:space="preserve"> PAGEREF _Toc508279629 \h </w:instrText>
          </w:r>
          <w:r>
            <w:fldChar w:fldCharType="separate"/>
          </w:r>
          <w:r>
            <w:t>9</w:t>
          </w:r>
          <w:r>
            <w:fldChar w:fldCharType="end"/>
          </w:r>
          <w:r>
            <w:fldChar w:fldCharType="end"/>
          </w:r>
        </w:p>
        <w:p>
          <w:pPr>
            <w:pStyle w:val="7"/>
            <w:tabs>
              <w:tab w:val="right" w:leader="dot" w:pos="9678"/>
            </w:tabs>
          </w:pPr>
          <w:r>
            <w:fldChar w:fldCharType="begin"/>
          </w:r>
          <w:r>
            <w:instrText xml:space="preserve"> HYPERLINK \l "_Toc508279630" </w:instrText>
          </w:r>
          <w:r>
            <w:fldChar w:fldCharType="separate"/>
          </w:r>
          <w:r>
            <w:rPr>
              <w:rStyle w:val="6"/>
              <w:rFonts w:cstheme="minorHAnsi"/>
            </w:rPr>
            <w:t>10. Reporte de la Recaudación:</w:t>
          </w:r>
          <w:r>
            <w:tab/>
          </w:r>
          <w:r>
            <w:fldChar w:fldCharType="begin"/>
          </w:r>
          <w:r>
            <w:instrText xml:space="preserve"> PAGEREF _Toc508279630 \h </w:instrText>
          </w:r>
          <w:r>
            <w:fldChar w:fldCharType="separate"/>
          </w:r>
          <w:r>
            <w:t>9</w:t>
          </w:r>
          <w:r>
            <w:fldChar w:fldCharType="end"/>
          </w:r>
          <w:r>
            <w:fldChar w:fldCharType="end"/>
          </w:r>
        </w:p>
        <w:p>
          <w:pPr>
            <w:pStyle w:val="7"/>
            <w:tabs>
              <w:tab w:val="right" w:leader="dot" w:pos="9678"/>
            </w:tabs>
          </w:pPr>
          <w:r>
            <w:fldChar w:fldCharType="begin"/>
          </w:r>
          <w:r>
            <w:instrText xml:space="preserve"> HYPERLINK \l "_Toc508279631" </w:instrText>
          </w:r>
          <w:r>
            <w:fldChar w:fldCharType="separate"/>
          </w:r>
          <w:r>
            <w:rPr>
              <w:rStyle w:val="6"/>
              <w:rFonts w:cstheme="minorHAnsi"/>
            </w:rPr>
            <w:t>11. Información sobre la Deuda y el Reporte Analítico de la Deuda:</w:t>
          </w:r>
          <w:r>
            <w:tab/>
          </w:r>
          <w:r>
            <w:fldChar w:fldCharType="begin"/>
          </w:r>
          <w:r>
            <w:instrText xml:space="preserve"> PAGEREF _Toc508279631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"_Toc508279632" </w:instrText>
          </w:r>
          <w:r>
            <w:fldChar w:fldCharType="separate"/>
          </w:r>
          <w:r>
            <w:rPr>
              <w:rStyle w:val="6"/>
              <w:rFonts w:cstheme="minorHAnsi"/>
            </w:rPr>
            <w:t>12. Calificaciones otorgadas:</w:t>
          </w:r>
          <w:r>
            <w:tab/>
          </w:r>
          <w:r>
            <w:fldChar w:fldCharType="begin"/>
          </w:r>
          <w:r>
            <w:instrText xml:space="preserve"> PAGEREF _Toc508279632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"_Toc508279633" </w:instrText>
          </w:r>
          <w:r>
            <w:fldChar w:fldCharType="separate"/>
          </w:r>
          <w:r>
            <w:rPr>
              <w:rStyle w:val="6"/>
              <w:rFonts w:cstheme="minorHAnsi"/>
            </w:rPr>
            <w:t>13. Proceso de Mejora:</w:t>
          </w:r>
          <w:r>
            <w:tab/>
          </w:r>
          <w:r>
            <w:fldChar w:fldCharType="begin"/>
          </w:r>
          <w:r>
            <w:instrText xml:space="preserve"> PAGEREF _Toc508279633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"_Toc508279634" </w:instrText>
          </w:r>
          <w:r>
            <w:fldChar w:fldCharType="separate"/>
          </w:r>
          <w:r>
            <w:rPr>
              <w:rStyle w:val="6"/>
              <w:rFonts w:cstheme="minorHAnsi"/>
            </w:rPr>
            <w:t>14. Información por Segmentos:</w:t>
          </w:r>
          <w:r>
            <w:tab/>
          </w:r>
          <w:r>
            <w:fldChar w:fldCharType="begin"/>
          </w:r>
          <w:r>
            <w:instrText xml:space="preserve"> PAGEREF _Toc508279634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"_Toc508279635" </w:instrText>
          </w:r>
          <w:r>
            <w:fldChar w:fldCharType="separate"/>
          </w:r>
          <w:r>
            <w:rPr>
              <w:rStyle w:val="6"/>
              <w:rFonts w:cstheme="minorHAnsi"/>
            </w:rPr>
            <w:t>15. Eventos Posteriores al Cierre:</w:t>
          </w:r>
          <w:r>
            <w:tab/>
          </w:r>
          <w:r>
            <w:fldChar w:fldCharType="begin"/>
          </w:r>
          <w:r>
            <w:instrText xml:space="preserve"> PAGEREF _Toc508279635 \h </w:instrText>
          </w:r>
          <w:r>
            <w:fldChar w:fldCharType="separate"/>
          </w:r>
          <w:r>
            <w:t>11</w:t>
          </w:r>
          <w:r>
            <w:fldChar w:fldCharType="end"/>
          </w:r>
          <w:r>
            <w:fldChar w:fldCharType="end"/>
          </w:r>
        </w:p>
        <w:p>
          <w:pPr>
            <w:pStyle w:val="7"/>
            <w:tabs>
              <w:tab w:val="right" w:leader="dot" w:pos="9678"/>
            </w:tabs>
          </w:pPr>
          <w:r>
            <w:fldChar w:fldCharType="begin"/>
          </w:r>
          <w:r>
            <w:instrText xml:space="preserve"> HYPERLINK \l "_Toc508279636" </w:instrText>
          </w:r>
          <w:r>
            <w:fldChar w:fldCharType="separate"/>
          </w:r>
          <w:r>
            <w:rPr>
              <w:rStyle w:val="6"/>
              <w:rFonts w:cstheme="minorHAnsi"/>
            </w:rPr>
            <w:t>16. Partes Relacionadas:</w:t>
          </w:r>
          <w:r>
            <w:tab/>
          </w:r>
          <w:r>
            <w:fldChar w:fldCharType="begin"/>
          </w:r>
          <w:r>
            <w:instrText xml:space="preserve"> PAGEREF _Toc508279636 \h </w:instrText>
          </w:r>
          <w:r>
            <w:fldChar w:fldCharType="separate"/>
          </w:r>
          <w:r>
            <w:t>11</w:t>
          </w:r>
          <w:r>
            <w:fldChar w:fldCharType="end"/>
          </w:r>
          <w:r>
            <w:fldChar w:fldCharType="end"/>
          </w:r>
        </w:p>
        <w:p>
          <w:pPr>
            <w:pStyle w:val="7"/>
            <w:tabs>
              <w:tab w:val="right" w:leader="dot" w:pos="9678"/>
            </w:tabs>
          </w:pPr>
          <w:r>
            <w:fldChar w:fldCharType="begin"/>
          </w:r>
          <w:r>
            <w:instrText xml:space="preserve"> HYPERLINK \l "_Toc508279637" </w:instrText>
          </w:r>
          <w:r>
            <w:fldChar w:fldCharType="separate"/>
          </w:r>
          <w:r>
            <w:rPr>
              <w:rStyle w:val="6"/>
              <w:rFonts w:cstheme="minorHAnsi"/>
            </w:rPr>
            <w:t>17. Responsabilidad Sobre la Presentación Razonable de la Información Contable:</w:t>
          </w:r>
          <w:r>
            <w:tab/>
          </w:r>
          <w:r>
            <w:fldChar w:fldCharType="begin"/>
          </w:r>
          <w:r>
            <w:instrText xml:space="preserve"> PAGEREF _Toc508279637 \h </w:instrText>
          </w:r>
          <w:r>
            <w:fldChar w:fldCharType="separate"/>
          </w:r>
          <w:r>
            <w:t>11</w:t>
          </w:r>
          <w:r>
            <w:fldChar w:fldCharType="end"/>
          </w:r>
          <w:r>
            <w:fldChar w:fldCharType="end"/>
          </w:r>
        </w:p>
        <w:p>
          <w:r>
            <w:rPr>
              <w:b/>
              <w:bCs/>
              <w:lang w:val="es-ES"/>
            </w:rPr>
            <w:fldChar w:fldCharType="end"/>
          </w:r>
        </w:p>
      </w:sdtContent>
    </w:sdt>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0" w:name="_Toc508279621"/>
      <w:r>
        <w:rPr>
          <w:rFonts w:asciiTheme="minorHAnsi" w:hAnsiTheme="minorHAnsi" w:cstheme="minorHAnsi"/>
          <w:b/>
          <w:color w:val="auto"/>
          <w:sz w:val="22"/>
        </w:rPr>
        <w:t>1. Introducción:</w:t>
      </w:r>
      <w:bookmarkEnd w:id="0"/>
    </w:p>
    <w:p>
      <w:pPr>
        <w:tabs>
          <w:tab w:val="left" w:leader="underscore" w:pos="9639"/>
        </w:tabs>
        <w:spacing w:after="0" w:line="240" w:lineRule="auto"/>
        <w:jc w:val="both"/>
        <w:rPr>
          <w:rFonts w:cs="Calibri"/>
        </w:rPr>
      </w:pPr>
      <w:r>
        <w:rPr>
          <w:rFonts w:cs="Calibri"/>
        </w:rPr>
        <w:t>Breve descripción de las actividades principales de la entidad.</w:t>
      </w:r>
    </w:p>
    <w:p>
      <w:pPr>
        <w:numPr>
          <w:ilvl w:val="0"/>
          <w:numId w:val="2"/>
        </w:numPr>
        <w:tabs>
          <w:tab w:val="left" w:leader="underscore" w:pos="9639"/>
          <w:tab w:val="clear" w:pos="420"/>
        </w:tabs>
        <w:spacing w:after="0" w:line="240" w:lineRule="auto"/>
        <w:ind w:left="420" w:leftChars="0" w:hanging="420" w:firstLineChars="0"/>
        <w:jc w:val="both"/>
        <w:rPr>
          <w:rFonts w:hint="default" w:cs="Calibri"/>
          <w:b/>
          <w:bCs/>
          <w:lang w:val="es-MX"/>
        </w:rPr>
      </w:pPr>
      <w:r>
        <w:rPr>
          <w:rFonts w:hint="default" w:cs="Calibri"/>
          <w:b/>
          <w:bCs/>
          <w:lang w:val="es-MX"/>
        </w:rPr>
        <w:t xml:space="preserve">IMPARTIR TALLERES DE ACTIVIDADES CULTURALES (GUITARRA, TECLADO, VIOLIN, CORO MUNICIPAL, FOLCLOR JUVENIL, BALLET CLASICO, DANZAS POLINESIAS, BISUTERIA, DIBUJO, FOLCLOR INFANTIL, DANZA AEREA Y GUITARRA AVANZADOS). </w:t>
      </w:r>
    </w:p>
    <w:p>
      <w:pPr>
        <w:numPr>
          <w:ilvl w:val="0"/>
          <w:numId w:val="2"/>
        </w:numPr>
        <w:tabs>
          <w:tab w:val="left" w:leader="underscore" w:pos="9639"/>
          <w:tab w:val="clear" w:pos="420"/>
        </w:tabs>
        <w:spacing w:after="0" w:line="240" w:lineRule="auto"/>
        <w:ind w:left="420" w:leftChars="0" w:hanging="420" w:firstLineChars="0"/>
        <w:jc w:val="both"/>
        <w:rPr>
          <w:rFonts w:hint="default" w:cs="Calibri"/>
          <w:b/>
          <w:bCs/>
          <w:lang w:val="es-MX"/>
        </w:rPr>
      </w:pPr>
      <w:r>
        <w:rPr>
          <w:rFonts w:hint="default" w:cs="Calibri"/>
          <w:b/>
          <w:bCs/>
          <w:lang w:val="es-MX"/>
        </w:rPr>
        <w:t xml:space="preserve">REALIZAR EVENTOS CULTURALES PARA LA CIUDADANIA (PRESENTACIONES DE MUSICA, TEATRO, BAILE Y EXPOSICIONES. </w:t>
      </w:r>
    </w:p>
    <w:p>
      <w:pPr>
        <w:numPr>
          <w:ilvl w:val="0"/>
          <w:numId w:val="2"/>
        </w:numPr>
        <w:tabs>
          <w:tab w:val="left" w:leader="underscore" w:pos="9639"/>
          <w:tab w:val="clear" w:pos="420"/>
        </w:tabs>
        <w:spacing w:after="0" w:line="240" w:lineRule="auto"/>
        <w:ind w:left="420" w:leftChars="0" w:hanging="420" w:firstLineChars="0"/>
        <w:jc w:val="both"/>
        <w:rPr>
          <w:rFonts w:hint="default" w:cs="Calibri"/>
          <w:b/>
          <w:bCs/>
          <w:lang w:val="es-MX"/>
        </w:rPr>
      </w:pPr>
      <w:r>
        <w:rPr>
          <w:rFonts w:hint="default" w:cs="Calibri"/>
          <w:b/>
          <w:bCs/>
          <w:lang w:val="es-MX"/>
        </w:rPr>
        <w:t xml:space="preserve">DIFUNDIR LA CULTURA EN LAS COMUNIDADES CON SALONES CULTURALES (BAILE FOLCLOR, TEATRO, DANZA AEREA, CORO, INSTRUCTORES DE BANDA DE VIENTO. </w:t>
      </w:r>
    </w:p>
    <w:p>
      <w:pPr>
        <w:numPr>
          <w:ilvl w:val="0"/>
          <w:numId w:val="2"/>
        </w:numPr>
        <w:tabs>
          <w:tab w:val="left" w:leader="underscore" w:pos="9639"/>
          <w:tab w:val="clear" w:pos="420"/>
        </w:tabs>
        <w:spacing w:after="0" w:line="240" w:lineRule="auto"/>
        <w:ind w:left="420" w:leftChars="0" w:hanging="420" w:firstLineChars="0"/>
        <w:jc w:val="both"/>
        <w:rPr>
          <w:rFonts w:hint="default" w:cs="Calibri"/>
          <w:b/>
          <w:bCs/>
          <w:lang w:val="es-MX"/>
        </w:rPr>
      </w:pPr>
      <w:r>
        <w:rPr>
          <w:rFonts w:hint="default" w:cs="Calibri"/>
          <w:b/>
          <w:bCs/>
          <w:lang w:val="es-MX"/>
        </w:rPr>
        <w:t xml:space="preserve">SERVICIO DE PRESTAMO DE LIBROS EN LAS BIBLIOTECAS </w:t>
      </w:r>
    </w:p>
    <w:p>
      <w:pPr>
        <w:numPr>
          <w:ilvl w:val="0"/>
          <w:numId w:val="2"/>
        </w:numPr>
        <w:tabs>
          <w:tab w:val="left" w:leader="underscore" w:pos="9639"/>
          <w:tab w:val="clear" w:pos="420"/>
        </w:tabs>
        <w:spacing w:after="0" w:line="240" w:lineRule="auto"/>
        <w:ind w:left="420" w:leftChars="0" w:hanging="420" w:firstLineChars="0"/>
        <w:jc w:val="both"/>
        <w:rPr>
          <w:rFonts w:hint="default" w:cs="Calibri"/>
          <w:b/>
          <w:bCs/>
          <w:lang w:val="es-MX"/>
        </w:rPr>
      </w:pPr>
      <w:r>
        <w:rPr>
          <w:rFonts w:hint="default" w:cs="Calibri"/>
          <w:b/>
          <w:bCs/>
          <w:lang w:val="es-MX"/>
        </w:rPr>
        <w:t>SERVICIO DE PRESTAMO DE COMPUTADORAS EN LAS BIBLIOTECAS .</w:t>
      </w:r>
    </w:p>
    <w:p>
      <w:pPr>
        <w:numPr>
          <w:ilvl w:val="0"/>
          <w:numId w:val="2"/>
        </w:numPr>
        <w:tabs>
          <w:tab w:val="left" w:leader="underscore" w:pos="9639"/>
          <w:tab w:val="clear" w:pos="420"/>
        </w:tabs>
        <w:spacing w:after="0" w:line="240" w:lineRule="auto"/>
        <w:ind w:left="420" w:leftChars="0" w:hanging="420" w:firstLineChars="0"/>
        <w:jc w:val="both"/>
        <w:rPr>
          <w:rFonts w:hint="default" w:cs="Calibri"/>
          <w:b/>
          <w:bCs/>
          <w:lang w:val="es-MX"/>
        </w:rPr>
      </w:pPr>
      <w:r>
        <w:rPr>
          <w:rFonts w:hint="default" w:cs="Calibri"/>
          <w:b/>
          <w:bCs/>
          <w:lang w:val="es-MX"/>
        </w:rPr>
        <w:t xml:space="preserve">DEBIDO A LAS CONDICIONES QUE LA PANDEMIA A DELIMITADO LAS ACCIONES, SE ESTAN REALIZANDO TRASMISIONES EN VIVO DE LAS ACTIVIDADES DE LA CUÑLTURA.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 w:name="_Toc508279622"/>
      <w:r>
        <w:rPr>
          <w:rFonts w:asciiTheme="minorHAnsi" w:hAnsiTheme="minorHAnsi" w:cstheme="minorHAnsi"/>
          <w:b/>
          <w:color w:val="auto"/>
          <w:sz w:val="22"/>
        </w:rPr>
        <w:t>2. Describir el panorama Económico y Financiero:</w:t>
      </w:r>
      <w:bookmarkEnd w:id="1"/>
    </w:p>
    <w:p>
      <w:pPr>
        <w:tabs>
          <w:tab w:val="left" w:leader="underscore" w:pos="9639"/>
        </w:tabs>
        <w:spacing w:after="0" w:line="240" w:lineRule="auto"/>
        <w:jc w:val="both"/>
        <w:rPr>
          <w:rFonts w:cs="Calibri"/>
        </w:rPr>
      </w:pPr>
      <w:r>
        <w:rPr>
          <w:rFonts w:cs="Calibri"/>
        </w:rPr>
        <w:t>Se informará sobre las principales condiciones económico-financieras bajo las cuales el ente público estuvo operando; y las cuales influyeron en la toma de decisiones de la administración; tanto a nivel local como federal.</w:t>
      </w:r>
    </w:p>
    <w:p>
      <w:pPr>
        <w:tabs>
          <w:tab w:val="left" w:leader="underscore" w:pos="9639"/>
        </w:tabs>
        <w:spacing w:after="0" w:line="240" w:lineRule="auto"/>
        <w:jc w:val="both"/>
        <w:rPr>
          <w:rFonts w:hint="default" w:cs="Calibri"/>
          <w:b/>
          <w:bCs/>
          <w:lang w:val="es-MX"/>
        </w:rPr>
      </w:pPr>
      <w:r>
        <w:rPr>
          <w:rFonts w:hint="default" w:cs="Calibri"/>
          <w:b/>
          <w:bCs/>
          <w:lang w:val="es-MX"/>
        </w:rPr>
        <w:t xml:space="preserve">CASA DE LA CULTURA CUENTA CON UN SUBSIDIO MUNICIPAL PARA SU FUNCIONAMIENTO, CON UN SUBSIDIO ESTATAL PARA SALONES CULTURALES Y GASTO DE EVENTOS CULTURALES, ASI COMO RECURSO PROPIO DE LAS COLEGIATURAS LA CUAL ES UNA CUOTA DE RECUPERACION.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2" w:name="_Toc508279623"/>
      <w:r>
        <w:rPr>
          <w:rFonts w:asciiTheme="minorHAnsi" w:hAnsiTheme="minorHAnsi" w:cstheme="minorHAnsi"/>
          <w:b/>
          <w:color w:val="auto"/>
          <w:sz w:val="22"/>
        </w:rPr>
        <w:t>3. Autorización e Historia:</w:t>
      </w:r>
      <w:bookmarkEnd w:id="2"/>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Fecha de creación del ente.</w:t>
      </w:r>
    </w:p>
    <w:p>
      <w:pPr>
        <w:tabs>
          <w:tab w:val="left" w:leader="underscore" w:pos="9639"/>
        </w:tabs>
        <w:spacing w:after="0" w:line="240" w:lineRule="auto"/>
        <w:jc w:val="both"/>
        <w:rPr>
          <w:rFonts w:hint="default" w:cs="Calibri"/>
          <w:b/>
          <w:bCs/>
          <w:lang w:val="es-MX"/>
        </w:rPr>
      </w:pPr>
      <w:r>
        <w:rPr>
          <w:rFonts w:hint="default" w:cs="Calibri"/>
          <w:b/>
          <w:bCs/>
          <w:lang w:val="es-MX"/>
        </w:rPr>
        <w:t>CASA DE LA CULTURA OBTIENE SU DEPENDENCIA JURIDICA EN EL 2007 MEDIANTE UN REGLAMENTO PUBLICADO EN EL DIARIO OFICIAL DE LA FEDERACION.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Principales cambios en su estructura (interna históricamente).</w:t>
      </w:r>
    </w:p>
    <w:p>
      <w:pPr>
        <w:tabs>
          <w:tab w:val="left" w:leader="underscore" w:pos="9639"/>
        </w:tabs>
        <w:spacing w:after="0" w:line="240" w:lineRule="auto"/>
        <w:jc w:val="both"/>
        <w:rPr>
          <w:rFonts w:cs="Calibri"/>
          <w:b/>
          <w:bCs/>
        </w:rPr>
      </w:pPr>
      <w:r>
        <w:rPr>
          <w:rFonts w:hint="default" w:cs="Calibri"/>
          <w:b/>
          <w:bCs/>
          <w:lang w:val="es-MX"/>
        </w:rPr>
        <w:t>EN EL 2007 CASA DE LA CULTURA TIENE SUS INSTALACIONES ESCLUSIVAMENTE PARA SUS ACTIVIDADES, UBICADAS EN LA ANTIGUA PREPARATORIA JUVENTINO ROSAS EN CALLE 16 DE SEPTIEMBRE #309 ZONA CENTRO DE SANTA CRUZ DE JUVENTINO ROSAS.</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3" w:name="_Toc508279624"/>
      <w:r>
        <w:rPr>
          <w:rFonts w:asciiTheme="minorHAnsi" w:hAnsiTheme="minorHAnsi" w:cstheme="minorHAnsi"/>
          <w:b/>
          <w:color w:val="auto"/>
          <w:sz w:val="22"/>
        </w:rPr>
        <w:t>4. Organización y Objeto Social:</w:t>
      </w:r>
      <w:bookmarkEnd w:id="3"/>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Objeto social.</w:t>
      </w:r>
    </w:p>
    <w:p>
      <w:pPr>
        <w:tabs>
          <w:tab w:val="left" w:leader="underscore" w:pos="9639"/>
        </w:tabs>
        <w:spacing w:after="0" w:line="240" w:lineRule="auto"/>
        <w:jc w:val="both"/>
        <w:rPr>
          <w:rFonts w:hint="default" w:cs="Calibri"/>
          <w:b/>
          <w:bCs/>
          <w:lang w:val="es-MX"/>
        </w:rPr>
      </w:pPr>
      <w:r>
        <w:rPr>
          <w:rFonts w:hint="default" w:cs="Calibri"/>
          <w:b/>
          <w:bCs/>
          <w:lang w:val="es-MX"/>
        </w:rPr>
        <w:t xml:space="preserve">Promover e impulsar el arte y la cultura en el municipio de Santa Cruz de Juventino Rosas.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Principal actividad.</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*Impartir talleres de musica, baile, manualidades y artes visuales.</w:t>
      </w:r>
    </w:p>
    <w:p>
      <w:pPr>
        <w:numPr>
          <w:numId w:val="0"/>
        </w:numPr>
        <w:tabs>
          <w:tab w:val="left" w:leader="underscore" w:pos="9639"/>
        </w:tabs>
        <w:spacing w:after="0" w:line="240" w:lineRule="auto"/>
        <w:ind w:leftChars="0"/>
        <w:jc w:val="both"/>
        <w:rPr>
          <w:rFonts w:cs="Calibri"/>
          <w:b/>
          <w:bCs/>
        </w:rPr>
      </w:pPr>
      <w:r>
        <w:rPr>
          <w:rFonts w:hint="default" w:cs="Calibri"/>
          <w:b/>
          <w:bCs/>
          <w:lang w:val="es-MX"/>
        </w:rPr>
        <w:t>* Realizar cursos de verano.</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Ofrecer servicio de bibliotecas</w:t>
      </w:r>
    </w:p>
    <w:p>
      <w:pPr>
        <w:numPr>
          <w:numId w:val="0"/>
        </w:numPr>
        <w:tabs>
          <w:tab w:val="left" w:leader="underscore" w:pos="9639"/>
        </w:tabs>
        <w:spacing w:after="0" w:line="240" w:lineRule="auto"/>
        <w:ind w:leftChars="0"/>
        <w:jc w:val="both"/>
        <w:rPr>
          <w:rFonts w:cs="Calibri"/>
          <w:b/>
          <w:bCs/>
        </w:rPr>
      </w:pPr>
      <w:r>
        <w:rPr>
          <w:rFonts w:hint="default" w:cs="Calibri"/>
          <w:b/>
          <w:bCs/>
          <w:lang w:val="es-MX"/>
        </w:rPr>
        <w:t>* Organizar y realizar espectaculos culturales.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Ejercicio fiscal </w:t>
      </w:r>
    </w:p>
    <w:p>
      <w:pPr>
        <w:tabs>
          <w:tab w:val="left" w:leader="underscore" w:pos="9639"/>
        </w:tabs>
        <w:spacing w:after="0" w:line="240" w:lineRule="auto"/>
        <w:jc w:val="both"/>
        <w:rPr>
          <w:rFonts w:hint="default" w:cs="Calibri"/>
          <w:b/>
          <w:bCs/>
          <w:lang w:val="es-MX"/>
        </w:rPr>
      </w:pPr>
      <w:r>
        <w:rPr>
          <w:rFonts w:hint="default" w:cs="Calibri"/>
          <w:b/>
          <w:bCs/>
          <w:lang w:val="es-MX"/>
        </w:rPr>
        <w:t>1 enero al 31 de diciembre 2023</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pPr>
        <w:tabs>
          <w:tab w:val="left" w:leader="underscore" w:pos="9639"/>
        </w:tabs>
        <w:spacing w:after="0" w:line="240" w:lineRule="auto"/>
        <w:jc w:val="both"/>
        <w:rPr>
          <w:rFonts w:hint="default" w:cs="Calibri"/>
          <w:b/>
          <w:bCs/>
          <w:lang w:val="es-MX"/>
        </w:rPr>
      </w:pPr>
      <w:r>
        <w:rPr>
          <w:rFonts w:hint="default" w:cs="Calibri"/>
          <w:b/>
          <w:bCs/>
          <w:lang w:val="es-MX"/>
        </w:rPr>
        <w:t xml:space="preserve">CASA DE LA CULTURA DE SANTA CRUZ DE JUVENTINO ROSAS </w:t>
      </w:r>
    </w:p>
    <w:p>
      <w:pPr>
        <w:tabs>
          <w:tab w:val="left" w:leader="underscore" w:pos="9639"/>
        </w:tabs>
        <w:spacing w:after="0" w:line="240" w:lineRule="auto"/>
        <w:jc w:val="both"/>
        <w:rPr>
          <w:rFonts w:cs="Calibri"/>
          <w:b/>
          <w:bCs/>
        </w:rPr>
      </w:pPr>
      <w:r>
        <w:rPr>
          <w:rFonts w:hint="default" w:cs="Calibri"/>
          <w:b/>
          <w:bCs/>
          <w:lang w:val="es-MX"/>
        </w:rPr>
        <w:t xml:space="preserve">REGIMEN: PERSONAS MORALES CON FINES NO LUCRATIVOS.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pPr>
        <w:tabs>
          <w:tab w:val="left" w:leader="underscore" w:pos="9639"/>
        </w:tabs>
        <w:spacing w:after="0" w:line="240" w:lineRule="auto"/>
        <w:jc w:val="both"/>
        <w:rPr>
          <w:rFonts w:hint="default" w:cs="Calibri"/>
          <w:b/>
          <w:bCs/>
          <w:lang w:val="es-MX"/>
        </w:rPr>
      </w:pPr>
      <w:r>
        <w:rPr>
          <w:rFonts w:hint="default" w:cs="Calibri"/>
          <w:b/>
          <w:bCs/>
          <w:lang w:val="es-MX"/>
        </w:rPr>
        <w:t xml:space="preserve">* ISR </w:t>
      </w:r>
    </w:p>
    <w:p>
      <w:pPr>
        <w:tabs>
          <w:tab w:val="left" w:leader="underscore" w:pos="9639"/>
        </w:tabs>
        <w:spacing w:after="0" w:line="240" w:lineRule="auto"/>
        <w:jc w:val="both"/>
        <w:rPr>
          <w:rFonts w:hint="default" w:cs="Calibri"/>
          <w:b/>
          <w:bCs/>
          <w:lang w:val="es-MX"/>
        </w:rPr>
      </w:pPr>
      <w:r>
        <w:rPr>
          <w:rFonts w:hint="default" w:cs="Calibri"/>
          <w:b/>
          <w:bCs/>
          <w:lang w:val="es-MX"/>
        </w:rPr>
        <w:t xml:space="preserve">* IMPUESTO SOBRE NOMINA.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hint="default" w:ascii="Arial" w:hAnsi="Arial" w:cs="Arial"/>
          <w:b/>
          <w:bCs/>
          <w:sz w:val="32"/>
          <w:szCs w:val="32"/>
          <w:lang w:val="es-MX"/>
        </w:rPr>
      </w:pPr>
      <w:r>
        <w:rPr>
          <w:rFonts w:ascii="Arial" w:hAnsi="Arial" w:cs="Arial"/>
          <w:b/>
          <w:bCs/>
          <w:sz w:val="32"/>
          <w:szCs w:val="32"/>
        </w:rPr>
        <w:t>ORGANIGRAMA DE CASA DE LA CULTURA JUVENTINO ROSAS</w:t>
      </w:r>
      <w:r>
        <w:rPr>
          <w:rFonts w:hint="default" w:ascii="Arial" w:hAnsi="Arial" w:cs="Arial"/>
          <w:b/>
          <w:bCs/>
          <w:sz w:val="32"/>
          <w:szCs w:val="32"/>
          <w:lang w:val="es-MX"/>
        </w:rPr>
        <w:t>.</w:t>
      </w:r>
      <w:r>
        <w:drawing>
          <wp:inline distT="0" distB="0" distL="0" distR="0">
            <wp:extent cx="6838950" cy="547687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leader="underscore" w:pos="9639"/>
        </w:tabs>
        <w:spacing w:after="0" w:line="240" w:lineRule="auto"/>
        <w:jc w:val="both"/>
        <w:rPr>
          <w:rFonts w:hint="default" w:ascii="Arial" w:hAnsi="Arial" w:cs="Arial"/>
          <w:b/>
          <w:bCs/>
          <w:sz w:val="32"/>
          <w:szCs w:val="32"/>
          <w:lang w:val="es-MX"/>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pPr>
        <w:tabs>
          <w:tab w:val="left" w:leader="underscore" w:pos="9639"/>
        </w:tabs>
        <w:spacing w:after="0" w:line="240" w:lineRule="auto"/>
        <w:jc w:val="both"/>
        <w:rPr>
          <w:rFonts w:cs="Calibri"/>
          <w:b/>
          <w:bCs/>
        </w:rPr>
      </w:pPr>
      <w:r>
        <w:rPr>
          <w:rFonts w:hint="default" w:cs="Calibri"/>
          <w:b/>
          <w:bCs/>
          <w:lang w:val="es-MX"/>
        </w:rPr>
        <w:t xml:space="preserve">CASA DE LA CULTURA NO CUENTA CON FIDEICOMISOS. </w:t>
      </w:r>
    </w:p>
    <w:p>
      <w:pPr>
        <w:tabs>
          <w:tab w:val="left" w:leader="underscore" w:pos="9639"/>
        </w:tabs>
        <w:spacing w:after="0" w:line="240" w:lineRule="auto"/>
        <w:jc w:val="both"/>
        <w:rPr>
          <w:rFonts w:cs="Calibri"/>
          <w:b/>
          <w:bCs/>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4" w:name="_Toc508279625"/>
      <w:r>
        <w:rPr>
          <w:rFonts w:asciiTheme="minorHAnsi" w:hAnsiTheme="minorHAnsi" w:cstheme="minorHAnsi"/>
          <w:b/>
          <w:color w:val="auto"/>
          <w:sz w:val="22"/>
        </w:rPr>
        <w:t>5. Bases de Preparación de los Estados Financieros:</w:t>
      </w:r>
      <w:bookmarkEnd w:id="4"/>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pPr>
        <w:tabs>
          <w:tab w:val="left" w:leader="underscore" w:pos="9639"/>
        </w:tabs>
        <w:spacing w:after="0" w:line="240" w:lineRule="auto"/>
        <w:jc w:val="both"/>
        <w:rPr>
          <w:rFonts w:cs="Calibri"/>
          <w:b/>
          <w:bCs/>
        </w:rPr>
      </w:pPr>
      <w:r>
        <w:rPr>
          <w:rFonts w:hint="default" w:cs="Calibri"/>
          <w:b/>
          <w:bCs/>
          <w:lang w:val="es-MX"/>
        </w:rPr>
        <w:t xml:space="preserve">EL SISTEMA SAP EN EL QUE SE LLEVA LA CONTABILIDAD DE LA CASA DE LA CULTURA, LE VAN REALIZANDO LAS ADECUACIONES QUE SE VAN REQUIRIENDO SEGUN NORMATIVAS EMITIDAS POR EL CONAC. </w:t>
      </w:r>
    </w:p>
    <w:p>
      <w:pPr>
        <w:tabs>
          <w:tab w:val="left" w:leader="underscore" w:pos="9639"/>
        </w:tabs>
        <w:spacing w:after="0" w:line="240" w:lineRule="auto"/>
        <w:jc w:val="both"/>
        <w:rPr>
          <w:rFonts w:cs="Calibri"/>
          <w:b/>
          <w:bCs/>
        </w:rPr>
      </w:pPr>
    </w:p>
    <w:p>
      <w:pPr>
        <w:tabs>
          <w:tab w:val="left" w:leader="underscore" w:pos="9639"/>
        </w:tabs>
        <w:spacing w:after="0" w:line="240" w:lineRule="auto"/>
        <w:jc w:val="both"/>
        <w:rPr>
          <w:rFonts w:cs="Calibri"/>
        </w:rPr>
      </w:pPr>
      <w:r>
        <w:rPr>
          <w:rFonts w:cs="Calibri"/>
          <w:b/>
        </w:rPr>
        <w:t>b)</w:t>
      </w:r>
      <w:r>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pPr>
        <w:tabs>
          <w:tab w:val="left" w:leader="underscore" w:pos="9639"/>
        </w:tabs>
        <w:spacing w:after="0" w:line="240" w:lineRule="auto"/>
        <w:jc w:val="both"/>
        <w:rPr>
          <w:rFonts w:cs="Calibri"/>
          <w:b/>
          <w:bCs/>
        </w:rPr>
      </w:pPr>
      <w:r>
        <w:rPr>
          <w:rFonts w:hint="default" w:cs="Calibri"/>
          <w:b/>
          <w:bCs/>
          <w:lang w:val="es-MX"/>
        </w:rPr>
        <w:t xml:space="preserve">EL SISTEMA SAP AL MOMENTO DE GENERAR INFORMES PUEDE PONER EL PERIODO QUE SE QUIERA REVISAR INCLUSO DESDDE EL MOMENTO QUE SE INICIO CON EL SISTEMA. POR LO TANTO TIENE Y LLEVA REGISTRO HISTORICO DE TODOS LOS MOVIMIENTOS REALIZADOS EN EL MISMO.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Postulados básicos.</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1. Sustancia economica </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2. Entes publicos </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3. Existencia permanente </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4. Revelacion suficiente </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5. Importancia relativa</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6. Registro e integracion presupuestarias </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7. Consolidación de la informacion financiera </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8. Devengo contable</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9. Valuación</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10. Dualidad economica </w:t>
      </w:r>
    </w:p>
    <w:p>
      <w:pPr>
        <w:numPr>
          <w:numId w:val="0"/>
        </w:numPr>
        <w:tabs>
          <w:tab w:val="left" w:leader="underscore" w:pos="9639"/>
        </w:tabs>
        <w:spacing w:after="0" w:line="240" w:lineRule="auto"/>
        <w:ind w:leftChars="0"/>
        <w:jc w:val="both"/>
        <w:rPr>
          <w:rFonts w:hint="default" w:cs="Calibri"/>
          <w:b/>
          <w:bCs/>
          <w:lang w:val="es-MX"/>
        </w:rPr>
      </w:pPr>
      <w:r>
        <w:rPr>
          <w:rFonts w:hint="default" w:cs="Calibri"/>
          <w:b/>
          <w:bCs/>
          <w:lang w:val="es-MX"/>
        </w:rPr>
        <w:t xml:space="preserve">11. Consistencia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pPr>
        <w:tabs>
          <w:tab w:val="left" w:leader="underscore" w:pos="9639"/>
        </w:tabs>
        <w:spacing w:after="0" w:line="240" w:lineRule="auto"/>
        <w:jc w:val="both"/>
        <w:rPr>
          <w:rFonts w:cs="Calibri"/>
          <w:b/>
          <w:bCs/>
        </w:rPr>
      </w:pPr>
      <w:r>
        <w:rPr>
          <w:rFonts w:hint="default" w:cs="Calibri"/>
          <w:b/>
          <w:bCs/>
          <w:lang w:val="es-MX"/>
        </w:rPr>
        <w:t xml:space="preserve">Esta nota no le aplica al ente publico.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*Revelar las nuevas políticas de reconocimiento:</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*Plan de implementación:</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cs="Calibri"/>
          <w:b/>
        </w:rPr>
      </w:pPr>
      <w:bookmarkStart w:id="5" w:name="_Toc508279626"/>
      <w:r>
        <w:rPr>
          <w:rFonts w:asciiTheme="minorHAnsi" w:hAnsiTheme="minorHAnsi" w:cstheme="minorHAnsi"/>
          <w:b/>
          <w:color w:val="auto"/>
          <w:sz w:val="22"/>
        </w:rPr>
        <w:t>6. Políticas de Contabilidad Significativas:</w:t>
      </w:r>
      <w:bookmarkEnd w:id="5"/>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pPr>
        <w:tabs>
          <w:tab w:val="left" w:leader="underscore" w:pos="9639"/>
        </w:tabs>
        <w:spacing w:after="0" w:line="240" w:lineRule="auto"/>
        <w:jc w:val="both"/>
        <w:rPr>
          <w:rFonts w:cs="Calibri"/>
        </w:rPr>
      </w:pPr>
      <w:r>
        <w:rPr>
          <w:rFonts w:hint="default" w:cs="Calibri"/>
          <w:b/>
          <w:bCs/>
          <w:lang w:val="es-MX"/>
        </w:rPr>
        <w:t>NADA QUE MANIFESTAR, CASA DE LA CULTURA NO TIENE MOVIMIENTOS EN EL EXTRANJERO.</w:t>
      </w:r>
      <w:r>
        <w:rPr>
          <w:rFonts w:hint="default" w:cs="Calibri"/>
          <w:lang w:val="es-MX"/>
        </w:rPr>
        <w:t xml:space="preserve">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pPr>
        <w:tabs>
          <w:tab w:val="left" w:leader="underscore" w:pos="9639"/>
        </w:tabs>
        <w:spacing w:after="0" w:line="240" w:lineRule="auto"/>
        <w:jc w:val="both"/>
        <w:rPr>
          <w:rFonts w:cs="Calibri"/>
        </w:rPr>
      </w:pPr>
      <w:r>
        <w:rPr>
          <w:rFonts w:hint="default" w:cs="Calibri"/>
          <w:b/>
          <w:bCs/>
          <w:lang w:val="es-MX"/>
        </w:rPr>
        <w:t>NADA QUE MANIFESTAR</w:t>
      </w:r>
      <w:r>
        <w:rPr>
          <w:rFonts w:hint="default" w:cs="Calibri"/>
          <w:lang w:val="es-MX"/>
        </w:rPr>
        <w:t xml:space="preserve">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pPr>
        <w:tabs>
          <w:tab w:val="left" w:leader="underscore" w:pos="9639"/>
        </w:tabs>
        <w:spacing w:after="0" w:line="240" w:lineRule="auto"/>
        <w:jc w:val="both"/>
        <w:rPr>
          <w:rFonts w:cs="Calibri"/>
        </w:rPr>
      </w:pPr>
      <w:r>
        <w:rPr>
          <w:rFonts w:hint="default" w:cs="Calibri"/>
          <w:b/>
          <w:bCs/>
          <w:lang w:val="es-MX"/>
        </w:rPr>
        <w:t>NADA QUE MANIFESTAR</w:t>
      </w:r>
      <w:r>
        <w:rPr>
          <w:rFonts w:hint="default" w:cs="Calibri"/>
          <w:lang w:val="es-MX"/>
        </w:rPr>
        <w:t xml:space="preserve">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pPr>
        <w:tabs>
          <w:tab w:val="left" w:leader="underscore" w:pos="9639"/>
        </w:tabs>
        <w:spacing w:after="0" w:line="240" w:lineRule="auto"/>
        <w:jc w:val="both"/>
        <w:rPr>
          <w:rFonts w:hint="default" w:cs="Calibri"/>
          <w:b/>
          <w:bCs/>
          <w:lang w:val="es-MX"/>
        </w:rPr>
      </w:pPr>
      <w:r>
        <w:rPr>
          <w:rFonts w:hint="default" w:cs="Calibri"/>
          <w:b/>
          <w:bCs/>
          <w:lang w:val="es-MX"/>
        </w:rPr>
        <w:t xml:space="preserve">NADA QUE MANIFESTAR </w:t>
      </w:r>
    </w:p>
    <w:p>
      <w:pPr>
        <w:tabs>
          <w:tab w:val="left" w:leader="underscore" w:pos="9639"/>
        </w:tabs>
        <w:spacing w:after="0" w:line="240" w:lineRule="auto"/>
        <w:jc w:val="both"/>
        <w:rPr>
          <w:rFonts w:hint="default" w:cs="Calibri"/>
          <w:b/>
          <w:bCs/>
          <w:lang w:val="es-MX"/>
        </w:rPr>
      </w:pPr>
    </w:p>
    <w:p>
      <w:pPr>
        <w:tabs>
          <w:tab w:val="left" w:leader="underscore" w:pos="9639"/>
        </w:tabs>
        <w:spacing w:after="0" w:line="240" w:lineRule="auto"/>
        <w:jc w:val="both"/>
        <w:rPr>
          <w:rFonts w:hint="default" w:cs="Calibri"/>
          <w:b/>
          <w:bCs/>
          <w:lang w:val="es-MX"/>
        </w:rPr>
      </w:pPr>
    </w:p>
    <w:p>
      <w:pPr>
        <w:tabs>
          <w:tab w:val="left" w:leader="underscore" w:pos="9639"/>
        </w:tabs>
        <w:spacing w:after="0" w:line="240" w:lineRule="auto"/>
        <w:jc w:val="both"/>
        <w:rPr>
          <w:rFonts w:hint="default" w:cs="Calibri"/>
          <w:b/>
          <w:bCs/>
          <w:lang w:val="es-MX"/>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pPr>
        <w:tabs>
          <w:tab w:val="left" w:leader="underscore" w:pos="9639"/>
        </w:tabs>
        <w:spacing w:after="0" w:line="240" w:lineRule="auto"/>
        <w:jc w:val="both"/>
        <w:rPr>
          <w:rFonts w:cs="Calibri"/>
        </w:rPr>
      </w:pPr>
      <w:r>
        <w:rPr>
          <w:rFonts w:hint="default" w:cs="Calibri"/>
          <w:b/>
          <w:bCs/>
          <w:lang w:val="es-MX"/>
        </w:rPr>
        <w:t>NADA QUE MANIFESTAR</w:t>
      </w:r>
      <w:r>
        <w:rPr>
          <w:rFonts w:hint="default" w:cs="Calibri"/>
          <w:lang w:val="es-MX"/>
        </w:rPr>
        <w:t xml:space="preserve">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numPr>
          <w:ilvl w:val="0"/>
          <w:numId w:val="3"/>
        </w:numPr>
        <w:rPr>
          <w:rFonts w:asciiTheme="minorHAnsi" w:hAnsiTheme="minorHAnsi" w:cstheme="minorHAnsi"/>
          <w:b/>
          <w:color w:val="auto"/>
          <w:sz w:val="22"/>
        </w:rPr>
      </w:pPr>
      <w:bookmarkStart w:id="6" w:name="_Toc508279627"/>
      <w:r>
        <w:rPr>
          <w:rFonts w:asciiTheme="minorHAnsi" w:hAnsiTheme="minorHAnsi" w:cstheme="minorHAnsi"/>
          <w:b/>
          <w:color w:val="auto"/>
          <w:sz w:val="22"/>
        </w:rPr>
        <w:t>Posición en Moneda Extranjera y Protección por Riesgo Cambiario:</w:t>
      </w:r>
      <w:bookmarkEnd w:id="6"/>
    </w:p>
    <w:p>
      <w:pPr>
        <w:numPr>
          <w:numId w:val="0"/>
        </w:numPr>
        <w:rPr>
          <w:rFonts w:hint="default"/>
          <w:b/>
          <w:bCs/>
          <w:lang w:val="es-MX"/>
        </w:rPr>
      </w:pPr>
      <w:r>
        <w:rPr>
          <w:rFonts w:hint="default"/>
          <w:b/>
          <w:bCs/>
          <w:lang w:val="es-MX"/>
        </w:rPr>
        <w:t xml:space="preserve">CASA DE LA CULTURA NO TIENE OPERACIONES EN NINGUN TIPO EN EL EXTRANJERO.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pPr>
        <w:tabs>
          <w:tab w:val="left" w:leader="underscore" w:pos="9639"/>
        </w:tabs>
        <w:spacing w:after="0" w:line="240" w:lineRule="auto"/>
        <w:jc w:val="both"/>
        <w:rPr>
          <w:rFonts w:cs="Calibri"/>
        </w:rPr>
      </w:pPr>
      <w:r>
        <w:rPr>
          <w:rFonts w:hint="default" w:cs="Calibri"/>
          <w:b/>
          <w:bCs/>
          <w:lang w:val="es-MX"/>
        </w:rPr>
        <w:t>NADA QUE MANIFESTAR</w:t>
      </w:r>
      <w:r>
        <w:rPr>
          <w:rFonts w:hint="default" w:cs="Calibri"/>
          <w:lang w:val="es-MX"/>
        </w:rPr>
        <w:t xml:space="preserve">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Tipo de cambio:</w:t>
      </w:r>
    </w:p>
    <w:p>
      <w:pPr>
        <w:tabs>
          <w:tab w:val="left" w:leader="underscore" w:pos="9639"/>
        </w:tabs>
        <w:spacing w:after="0" w:line="240" w:lineRule="auto"/>
        <w:jc w:val="both"/>
        <w:rPr>
          <w:rFonts w:cs="Calibri"/>
        </w:rPr>
      </w:pPr>
      <w:r>
        <w:rPr>
          <w:rFonts w:hint="default" w:cs="Calibri"/>
          <w:b/>
          <w:bCs/>
          <w:lang w:val="es-MX"/>
        </w:rPr>
        <w:t>NADA QUE MANIFESTAR</w:t>
      </w:r>
      <w:r>
        <w:rPr>
          <w:rFonts w:hint="default" w:cs="Calibri"/>
          <w:lang w:val="es-MX"/>
        </w:rPr>
        <w:t xml:space="preserve">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pPr>
        <w:tabs>
          <w:tab w:val="left" w:leader="underscore" w:pos="9639"/>
        </w:tabs>
        <w:spacing w:after="0" w:line="240" w:lineRule="auto"/>
        <w:jc w:val="both"/>
        <w:rPr>
          <w:rFonts w:cs="Calibri"/>
          <w:b/>
          <w:bCs/>
        </w:rPr>
      </w:pPr>
      <w:r>
        <w:rPr>
          <w:rFonts w:hint="default" w:cs="Calibri"/>
          <w:b/>
          <w:bCs/>
          <w:lang w:val="es-MX"/>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7" w:name="_Toc508279628"/>
      <w:r>
        <w:rPr>
          <w:rFonts w:asciiTheme="minorHAnsi" w:hAnsiTheme="minorHAnsi" w:cstheme="minorHAnsi"/>
          <w:b/>
          <w:color w:val="auto"/>
          <w:sz w:val="22"/>
        </w:rPr>
        <w:t>8. Reporte Analítico del Activo:</w:t>
      </w:r>
      <w:bookmarkEnd w:id="7"/>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Debe mostrar la siguiente información: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Inversiones en valores:</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pPr>
        <w:tabs>
          <w:tab w:val="left" w:leader="underscore" w:pos="9639"/>
        </w:tabs>
        <w:spacing w:after="0" w:line="240" w:lineRule="auto"/>
        <w:jc w:val="both"/>
        <w:rPr>
          <w:rFonts w:cs="Calibri"/>
          <w:b/>
          <w:bCs/>
        </w:rPr>
      </w:pPr>
      <w:r>
        <w:rPr>
          <w:rFonts w:hint="default" w:cs="Calibri"/>
          <w:b/>
          <w:bCs/>
          <w:lang w:val="es-MX"/>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8" w:name="_Toc508279629"/>
      <w:r>
        <w:rPr>
          <w:rFonts w:asciiTheme="minorHAnsi" w:hAnsiTheme="minorHAnsi" w:cstheme="minorHAnsi"/>
          <w:b/>
          <w:color w:val="auto"/>
          <w:sz w:val="22"/>
        </w:rPr>
        <w:t>9. Fideicomisos, Mandatos y Análogos:</w:t>
      </w:r>
      <w:bookmarkEnd w:id="8"/>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deberá informar: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pPr>
        <w:tabs>
          <w:tab w:val="left" w:leader="underscore" w:pos="9639"/>
        </w:tabs>
        <w:spacing w:after="0" w:line="240" w:lineRule="auto"/>
        <w:jc w:val="both"/>
        <w:rPr>
          <w:rFonts w:cs="Calibri"/>
          <w:b/>
          <w:bCs/>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pPr>
        <w:tabs>
          <w:tab w:val="left" w:leader="underscore" w:pos="9639"/>
        </w:tabs>
        <w:spacing w:after="0" w:line="240" w:lineRule="auto"/>
        <w:jc w:val="both"/>
        <w:rPr>
          <w:rFonts w:cs="Calibri"/>
          <w:b/>
          <w:bCs/>
        </w:rPr>
      </w:pPr>
      <w:r>
        <w:rPr>
          <w:rFonts w:hint="default" w:cs="Calibri"/>
          <w:b/>
          <w:bCs/>
          <w:lang w:val="es-MX"/>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9" w:name="_Toc508279630"/>
      <w:r>
        <w:rPr>
          <w:rFonts w:asciiTheme="minorHAnsi" w:hAnsiTheme="minorHAnsi" w:cstheme="minorHAnsi"/>
          <w:b/>
          <w:color w:val="auto"/>
          <w:sz w:val="22"/>
        </w:rPr>
        <w:t>10. Reporte de la Recaudación:</w:t>
      </w:r>
      <w:bookmarkEnd w:id="9"/>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pPr>
        <w:tabs>
          <w:tab w:val="left" w:leader="underscore" w:pos="9639"/>
        </w:tabs>
        <w:spacing w:after="0" w:line="240" w:lineRule="auto"/>
        <w:jc w:val="both"/>
        <w:rPr>
          <w:rFonts w:hint="default" w:cs="Calibri"/>
          <w:b/>
          <w:bCs/>
          <w:lang w:val="es-MX"/>
        </w:rPr>
      </w:pPr>
      <w:r>
        <w:rPr>
          <w:rFonts w:hint="default" w:cs="Calibri"/>
          <w:b/>
          <w:bCs/>
          <w:lang w:val="es-MX"/>
        </w:rPr>
        <w:t>INGRESO POR SUBSIDIO ESTATAL:</w:t>
      </w:r>
      <w:r>
        <w:rPr>
          <w:rFonts w:hint="default" w:cs="Calibri"/>
          <w:lang w:val="es-MX"/>
        </w:rPr>
        <w:t xml:space="preserve"> La recaudación de este recurso llega cada mes y es para pagar maestros talleristas e impulsar el arte en comunidades, al 31 de Marzo el importe recaudado es de </w:t>
      </w:r>
      <w:r>
        <w:rPr>
          <w:rFonts w:hint="default" w:cs="Calibri"/>
          <w:b/>
          <w:bCs/>
          <w:lang w:val="es-MX"/>
        </w:rPr>
        <w:t>$61,500.00</w:t>
      </w:r>
    </w:p>
    <w:p>
      <w:pPr>
        <w:tabs>
          <w:tab w:val="left" w:leader="underscore" w:pos="9639"/>
        </w:tabs>
        <w:spacing w:after="0" w:line="240" w:lineRule="auto"/>
        <w:jc w:val="both"/>
        <w:rPr>
          <w:rFonts w:cs="Calibri"/>
          <w:b/>
          <w:bCs/>
        </w:rPr>
      </w:pPr>
    </w:p>
    <w:p>
      <w:pPr>
        <w:tabs>
          <w:tab w:val="left" w:leader="underscore" w:pos="9639"/>
        </w:tabs>
        <w:spacing w:after="0" w:line="240" w:lineRule="auto"/>
        <w:jc w:val="both"/>
        <w:rPr>
          <w:rFonts w:hint="default" w:cs="Calibri"/>
          <w:lang w:val="es-MX"/>
        </w:rPr>
      </w:pPr>
      <w:r>
        <w:rPr>
          <w:rFonts w:hint="default" w:cs="Calibri"/>
          <w:b/>
          <w:bCs/>
          <w:lang w:val="es-MX"/>
        </w:rPr>
        <w:t>INGRESO POR SUBSIDIO MUNICIPAL:</w:t>
      </w:r>
      <w:r>
        <w:rPr>
          <w:rFonts w:hint="default" w:cs="Calibri"/>
          <w:lang w:val="es-MX"/>
        </w:rPr>
        <w:t xml:space="preserve"> La recaudación de este recurso es de manera mensual y es el mayoritario para todas las funciones de casa de la cultura, servicios personales, servicios básicos, materiales y suministros y para la compra de activos para realizar las funciones de casa de la cultura. Al 31 de Marzo el importe es de </w:t>
      </w:r>
      <w:r>
        <w:rPr>
          <w:rFonts w:hint="default" w:cs="Calibri"/>
          <w:b/>
          <w:bCs/>
          <w:lang w:val="es-MX"/>
        </w:rPr>
        <w:t>$1´063,845.00</w:t>
      </w:r>
    </w:p>
    <w:p>
      <w:pPr>
        <w:tabs>
          <w:tab w:val="left" w:leader="underscore" w:pos="9639"/>
        </w:tabs>
        <w:spacing w:after="0" w:line="240" w:lineRule="auto"/>
        <w:jc w:val="both"/>
        <w:rPr>
          <w:rFonts w:hint="default" w:cs="Calibri"/>
          <w:lang w:val="es-MX"/>
        </w:rPr>
      </w:pPr>
    </w:p>
    <w:p>
      <w:pPr>
        <w:tabs>
          <w:tab w:val="left" w:leader="underscore" w:pos="9639"/>
        </w:tabs>
        <w:spacing w:after="0" w:line="240" w:lineRule="auto"/>
        <w:jc w:val="both"/>
        <w:rPr>
          <w:rFonts w:hint="default" w:cs="Calibri"/>
          <w:lang w:val="es-MX"/>
        </w:rPr>
      </w:pPr>
      <w:r>
        <w:rPr>
          <w:rFonts w:hint="default" w:cs="Calibri"/>
          <w:b/>
          <w:bCs/>
          <w:lang w:val="es-MX"/>
        </w:rPr>
        <w:t>INGRESO PROPIO</w:t>
      </w:r>
      <w:r>
        <w:rPr>
          <w:rFonts w:hint="default" w:cs="Calibri"/>
          <w:b/>
          <w:bCs/>
          <w:lang w:val="es-MX"/>
        </w:rPr>
        <w:t xml:space="preserve">: </w:t>
      </w:r>
      <w:r>
        <w:rPr>
          <w:rFonts w:hint="default" w:cs="Calibri"/>
          <w:lang w:val="es-MX"/>
        </w:rPr>
        <w:t xml:space="preserve">La recaudación de este recurso se da por los derechos que cobra casa de la cultura como lo son: inscripciones  a talleres, mensualidades de los talleres, cuotas de recuperación por presentaciones de la banda sinfónica, presatamo de tapanco instalaciones de  auditorio etc.  Al 31 de Marzo el importe es de </w:t>
      </w:r>
      <w:r>
        <w:rPr>
          <w:rFonts w:hint="default" w:cs="Calibri"/>
          <w:b/>
          <w:bCs/>
          <w:lang w:val="es-MX"/>
        </w:rPr>
        <w:t>$104,066.68</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Proyección de la recaudación e ingresos en el mediano plazo:</w:t>
      </w:r>
    </w:p>
    <w:p>
      <w:pPr>
        <w:tabs>
          <w:tab w:val="left" w:leader="underscore" w:pos="9639"/>
        </w:tabs>
        <w:spacing w:after="0" w:line="240" w:lineRule="auto"/>
        <w:jc w:val="both"/>
        <w:rPr>
          <w:rFonts w:hint="default" w:cs="Calibri"/>
          <w:lang w:val="es-MX"/>
        </w:rPr>
      </w:pPr>
      <w:r>
        <w:rPr>
          <w:rFonts w:hint="default" w:cs="Calibri"/>
          <w:lang w:val="es-MX"/>
        </w:rPr>
        <w:t>Al final del año se proyecta una recaudacion por recurso de:</w:t>
      </w:r>
    </w:p>
    <w:p>
      <w:pPr>
        <w:tabs>
          <w:tab w:val="left" w:leader="underscore" w:pos="9639"/>
        </w:tabs>
        <w:spacing w:after="0" w:line="240" w:lineRule="auto"/>
        <w:jc w:val="both"/>
        <w:rPr>
          <w:rFonts w:hint="default" w:cs="Calibri"/>
          <w:b/>
          <w:bCs/>
          <w:lang w:val="es-MX"/>
        </w:rPr>
      </w:pPr>
      <w:r>
        <w:rPr>
          <w:rFonts w:hint="default" w:cs="Calibri"/>
          <w:b/>
          <w:bCs/>
          <w:lang w:val="es-MX"/>
        </w:rPr>
        <w:t>INGRESO POR SUBSIDIO ESTATAL: $246,000.00</w:t>
      </w:r>
    </w:p>
    <w:p>
      <w:pPr>
        <w:tabs>
          <w:tab w:val="left" w:leader="underscore" w:pos="9639"/>
        </w:tabs>
        <w:spacing w:after="0" w:line="240" w:lineRule="auto"/>
        <w:jc w:val="both"/>
        <w:rPr>
          <w:rFonts w:hint="default" w:cs="Calibri"/>
          <w:b/>
          <w:bCs/>
          <w:lang w:val="es-MX"/>
        </w:rPr>
      </w:pPr>
      <w:r>
        <w:rPr>
          <w:rFonts w:hint="default" w:cs="Calibri"/>
          <w:b/>
          <w:bCs/>
          <w:lang w:val="es-MX"/>
        </w:rPr>
        <w:t>INGRESO POR SUBSIDIO MUNICIPAL. $4,255,380.00</w:t>
      </w:r>
    </w:p>
    <w:p>
      <w:pPr>
        <w:tabs>
          <w:tab w:val="left" w:leader="underscore" w:pos="9639"/>
        </w:tabs>
        <w:spacing w:after="0" w:line="240" w:lineRule="auto"/>
        <w:jc w:val="both"/>
        <w:rPr>
          <w:rFonts w:cs="Calibri"/>
        </w:rPr>
      </w:pPr>
      <w:r>
        <w:rPr>
          <w:rFonts w:hint="default" w:cs="Calibri"/>
          <w:b/>
          <w:bCs/>
          <w:lang w:val="es-MX"/>
        </w:rPr>
        <w:t>INGRESOS PROPIOS: $416,266.72</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0" w:name="_Toc508279631"/>
      <w:r>
        <w:rPr>
          <w:rFonts w:asciiTheme="minorHAnsi" w:hAnsiTheme="minorHAnsi" w:cstheme="minorHAnsi"/>
          <w:b/>
          <w:color w:val="auto"/>
          <w:sz w:val="22"/>
        </w:rPr>
        <w:t>11. Información sobre la Deuda y el Reporte Analítico de la Deuda:</w:t>
      </w:r>
      <w:bookmarkEnd w:id="10"/>
    </w:p>
    <w:p>
      <w:pPr>
        <w:tabs>
          <w:tab w:val="left" w:leader="underscore" w:pos="9639"/>
        </w:tabs>
        <w:spacing w:after="0" w:line="240" w:lineRule="auto"/>
        <w:jc w:val="both"/>
        <w:rPr>
          <w:rFonts w:hint="default" w:cs="Calibri"/>
          <w:lang w:val="es-MX"/>
        </w:rPr>
      </w:pPr>
    </w:p>
    <w:p>
      <w:pPr>
        <w:tabs>
          <w:tab w:val="left" w:leader="underscore" w:pos="9639"/>
        </w:tabs>
        <w:spacing w:after="0" w:line="240" w:lineRule="auto"/>
        <w:jc w:val="both"/>
        <w:rPr>
          <w:rFonts w:hint="default" w:cs="Calibri"/>
          <w:b/>
          <w:bCs/>
          <w:lang w:val="es-MX"/>
        </w:rPr>
      </w:pPr>
      <w:r>
        <w:rPr>
          <w:rFonts w:hint="default" w:cs="Calibri"/>
          <w:b/>
          <w:bCs/>
          <w:lang w:val="es-MX"/>
        </w:rPr>
        <w:t xml:space="preserve">CASA DE LA CULTURA NO TIENE FACULTAD PARA ADQUIRIR DEUDA HASTA EL MOMENTO. </w:t>
      </w:r>
    </w:p>
    <w:p>
      <w:pPr>
        <w:tabs>
          <w:tab w:val="left" w:leader="underscore" w:pos="9639"/>
        </w:tabs>
        <w:spacing w:after="0" w:line="240" w:lineRule="auto"/>
        <w:jc w:val="both"/>
        <w:rPr>
          <w:rFonts w:hint="default" w:cs="Calibri"/>
          <w:lang w:val="es-MX"/>
        </w:rPr>
      </w:pPr>
    </w:p>
    <w:p>
      <w:pPr>
        <w:numPr>
          <w:ilvl w:val="0"/>
          <w:numId w:val="4"/>
        </w:numPr>
        <w:tabs>
          <w:tab w:val="left" w:leader="underscore" w:pos="9639"/>
        </w:tabs>
        <w:spacing w:after="0" w:line="240" w:lineRule="auto"/>
        <w:jc w:val="both"/>
        <w:rPr>
          <w:rFonts w:cs="Calibri"/>
        </w:rPr>
      </w:pPr>
      <w:r>
        <w:rPr>
          <w:rFonts w:cs="Calibri"/>
        </w:rPr>
        <w:t>Utilizar al menos los siguientes indicadores: deuda respecto al PIB y deuda respecto a la recaudación tomando, como mínimo, un período igual o menor a 5 años.</w:t>
      </w:r>
    </w:p>
    <w:p>
      <w:pPr>
        <w:numPr>
          <w:numId w:val="0"/>
        </w:numPr>
        <w:tabs>
          <w:tab w:val="left" w:leader="underscore" w:pos="9639"/>
        </w:tabs>
        <w:spacing w:after="0" w:line="240" w:lineRule="auto"/>
        <w:jc w:val="both"/>
        <w:rPr>
          <w:rFonts w:hint="default" w:cs="Calibri"/>
          <w:b/>
          <w:bCs/>
          <w:lang w:val="es-MX"/>
        </w:rPr>
      </w:pPr>
      <w:r>
        <w:rPr>
          <w:rFonts w:hint="default" w:cs="Calibri"/>
          <w:b/>
          <w:bCs/>
          <w:lang w:val="es-MX"/>
        </w:rPr>
        <w:t xml:space="preserve">NADA QUE MANIFESTAR.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pPr>
        <w:tabs>
          <w:tab w:val="left" w:leader="underscore" w:pos="9639"/>
        </w:tabs>
        <w:spacing w:after="0" w:line="240" w:lineRule="auto"/>
        <w:jc w:val="both"/>
        <w:rPr>
          <w:rFonts w:cs="Calibri"/>
        </w:rPr>
      </w:pPr>
      <w:r>
        <w:rPr>
          <w:rFonts w:cs="Calibri"/>
        </w:rPr>
        <w:t>* Se anexará la información en las notas de desglose.</w:t>
      </w:r>
    </w:p>
    <w:p>
      <w:pPr>
        <w:tabs>
          <w:tab w:val="left" w:leader="underscore" w:pos="9639"/>
        </w:tabs>
        <w:spacing w:after="0" w:line="240" w:lineRule="auto"/>
        <w:jc w:val="both"/>
        <w:rPr>
          <w:rFonts w:hint="default" w:cs="Calibri"/>
          <w:b/>
          <w:bCs/>
          <w:lang w:val="es-MX"/>
        </w:rPr>
      </w:pPr>
      <w:r>
        <w:rPr>
          <w:rFonts w:hint="default" w:cs="Calibri"/>
          <w:b/>
          <w:bCs/>
          <w:lang w:val="es-MX"/>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1" w:name="_Toc508279632"/>
      <w:r>
        <w:rPr>
          <w:rFonts w:asciiTheme="minorHAnsi" w:hAnsiTheme="minorHAnsi" w:cstheme="minorHAnsi"/>
          <w:b/>
          <w:color w:val="auto"/>
          <w:sz w:val="22"/>
        </w:rPr>
        <w:t>12. Calificaciones otorgadas:</w:t>
      </w:r>
      <w:bookmarkEnd w:id="11"/>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pPr>
        <w:tabs>
          <w:tab w:val="left" w:leader="underscore" w:pos="9639"/>
        </w:tabs>
        <w:spacing w:after="0" w:line="240" w:lineRule="auto"/>
        <w:jc w:val="both"/>
        <w:rPr>
          <w:rFonts w:cs="Calibri"/>
          <w:b/>
          <w:bCs/>
        </w:rPr>
      </w:pPr>
      <w:r>
        <w:rPr>
          <w:rFonts w:hint="default" w:cs="Calibri"/>
          <w:b/>
          <w:bCs/>
          <w:lang w:val="es-MX"/>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2" w:name="_Toc508279633"/>
      <w:r>
        <w:rPr>
          <w:rFonts w:asciiTheme="minorHAnsi" w:hAnsiTheme="minorHAnsi" w:cstheme="minorHAnsi"/>
          <w:b/>
          <w:color w:val="auto"/>
          <w:sz w:val="22"/>
        </w:rPr>
        <w:t>13. Proceso de Mejora:</w:t>
      </w:r>
      <w:bookmarkEnd w:id="12"/>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de: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pPr>
        <w:tabs>
          <w:tab w:val="left" w:leader="underscore" w:pos="9639"/>
        </w:tabs>
        <w:spacing w:after="0" w:line="240" w:lineRule="auto"/>
        <w:jc w:val="both"/>
        <w:rPr>
          <w:rFonts w:cs="Calibri"/>
          <w:b/>
          <w:bCs/>
        </w:rPr>
      </w:pPr>
      <w:r>
        <w:rPr>
          <w:rFonts w:hint="default" w:cs="Calibri"/>
          <w:b/>
          <w:bCs/>
          <w:lang w:val="es-MX"/>
        </w:rPr>
        <w:t>NADA QUE MANIFESTAR POR EL MOMENTO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pPr>
        <w:tabs>
          <w:tab w:val="left" w:leader="underscore" w:pos="9639"/>
        </w:tabs>
        <w:spacing w:after="0" w:line="240" w:lineRule="auto"/>
        <w:jc w:val="both"/>
        <w:rPr>
          <w:rFonts w:cs="Calibri"/>
          <w:b/>
          <w:bCs/>
        </w:rPr>
      </w:pPr>
      <w:r>
        <w:rPr>
          <w:rFonts w:hint="default" w:cs="Calibri"/>
          <w:b/>
          <w:bCs/>
          <w:lang w:val="es-MX"/>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3" w:name="_Toc508279634"/>
      <w:r>
        <w:rPr>
          <w:rFonts w:asciiTheme="minorHAnsi" w:hAnsiTheme="minorHAnsi" w:cstheme="minorHAnsi"/>
          <w:b/>
          <w:color w:val="auto"/>
          <w:sz w:val="22"/>
        </w:rPr>
        <w:t>14. Información por Segmentos:</w:t>
      </w:r>
      <w:bookmarkEnd w:id="13"/>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Consecuentemente, esta información contribuye al análisis más preciso de la situación financiera, grados y fuentes de riesgo y crecimiento potencial de negocio.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4" w:name="_Toc508279635"/>
      <w:r>
        <w:rPr>
          <w:rFonts w:asciiTheme="minorHAnsi" w:hAnsiTheme="minorHAnsi" w:cstheme="minorHAnsi"/>
          <w:b/>
          <w:color w:val="auto"/>
          <w:sz w:val="22"/>
        </w:rPr>
        <w:t>15. Eventos Posteriores al Cierre:</w:t>
      </w:r>
      <w:bookmarkEnd w:id="14"/>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hint="default" w:cs="Calibri"/>
          <w:lang w:val="es-MX"/>
        </w:rPr>
        <w:t xml:space="preserve">En el mes de junio 2020 se realizo un ajuste de años anteriores para cuadrar la cuenta de bancos ya que había movimientos los cuales no se realizaron en la cuenta de bancos que maneja el sistema SAP, pero si estaban reflejados en la cuenta bancaria. </w:t>
      </w:r>
      <w:r>
        <w:rPr>
          <w:rFonts w:cs="Calibri"/>
        </w:rPr>
        <w:cr/>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5" w:name="_Toc508279636"/>
      <w:r>
        <w:rPr>
          <w:rFonts w:asciiTheme="minorHAnsi" w:hAnsiTheme="minorHAnsi" w:cstheme="minorHAnsi"/>
          <w:b/>
          <w:color w:val="auto"/>
          <w:sz w:val="22"/>
        </w:rPr>
        <w:t>16. Partes Relacionadas:</w:t>
      </w:r>
      <w:bookmarkEnd w:id="15"/>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debe establecer por escrito que no existen partes relacionadas que pudieran ejercer influencia significativa sobre la toma de decisiones financieras y operativas:</w:t>
      </w:r>
    </w:p>
    <w:p>
      <w:pPr>
        <w:tabs>
          <w:tab w:val="left" w:leader="underscore" w:pos="9639"/>
        </w:tabs>
        <w:spacing w:after="0" w:line="240" w:lineRule="auto"/>
        <w:jc w:val="both"/>
        <w:rPr>
          <w:rFonts w:cs="Calibri"/>
          <w:b/>
          <w:bCs/>
        </w:rPr>
      </w:pPr>
      <w:r>
        <w:rPr>
          <w:rFonts w:hint="default" w:cs="Calibri"/>
          <w:b/>
          <w:bCs/>
          <w:lang w:val="es-MX"/>
        </w:rPr>
        <w:t xml:space="preserve">Las únicas partes involucradas en la toma de decisiones financieras y operativas de la casa de la cultura Juventino Rosas son: EL DIRECTOR, EL CONSEJO CONSULTIVO DE CASA DE LA CULTURA Y EN LA APLICACION DE SU RECURSO EL INSTITUTO ESTATAL DE LA CULTURA.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6" w:name="_Toc508279637"/>
      <w:r>
        <w:rPr>
          <w:rFonts w:asciiTheme="minorHAnsi" w:hAnsiTheme="minorHAnsi" w:cstheme="minorHAnsi"/>
          <w:b/>
          <w:color w:val="auto"/>
          <w:sz w:val="22"/>
        </w:rPr>
        <w:t>17. Responsabilidad Sobre la Presentación Razonable de la Información Contable:</w:t>
      </w:r>
      <w:bookmarkEnd w:id="16"/>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pPr>
        <w:tabs>
          <w:tab w:val="left" w:leader="underscore" w:pos="9639"/>
        </w:tabs>
        <w:spacing w:after="0" w:line="240" w:lineRule="auto"/>
        <w:jc w:val="both"/>
        <w:rPr>
          <w:rFonts w:hint="default" w:cs="Calibri"/>
          <w:lang w:val="es-MX"/>
        </w:rPr>
      </w:pPr>
    </w:p>
    <w:p>
      <w:pPr>
        <w:tabs>
          <w:tab w:val="left" w:leader="underscore" w:pos="9639"/>
        </w:tabs>
        <w:spacing w:after="0" w:line="240" w:lineRule="auto"/>
        <w:jc w:val="both"/>
        <w:rPr>
          <w:rFonts w:hint="default" w:cs="Calibri"/>
          <w:lang w:val="es-MX"/>
        </w:rPr>
      </w:pPr>
      <w:r>
        <w:rPr>
          <w:rFonts w:hint="default" w:cs="Calibri"/>
          <w:lang w:val="es-MX"/>
        </w:rPr>
        <w:t>LAS FIRMAS QUE ACOMPAÑAN LOS ESTADOS FINANCIEROS SON LAS DE LAS SIGUIENTES PERSONALIDADES:</w:t>
      </w:r>
    </w:p>
    <w:p>
      <w:pPr>
        <w:tabs>
          <w:tab w:val="left" w:leader="underscore" w:pos="9639"/>
        </w:tabs>
        <w:spacing w:after="0" w:line="240" w:lineRule="auto"/>
        <w:jc w:val="both"/>
        <w:rPr>
          <w:rFonts w:hint="default" w:cs="Calibri"/>
          <w:lang w:val="es-MX"/>
        </w:rPr>
      </w:pPr>
    </w:p>
    <w:p>
      <w:pPr>
        <w:tabs>
          <w:tab w:val="left" w:leader="underscore" w:pos="9639"/>
        </w:tabs>
        <w:spacing w:after="0" w:line="240" w:lineRule="auto"/>
        <w:jc w:val="both"/>
        <w:rPr>
          <w:rFonts w:hint="default" w:cs="Calibri"/>
          <w:b/>
          <w:bCs/>
          <w:lang w:val="es-MX"/>
        </w:rPr>
      </w:pPr>
      <w:r>
        <w:rPr>
          <w:rFonts w:hint="default" w:cs="Calibri"/>
          <w:b/>
          <w:bCs/>
          <w:lang w:val="es-MX"/>
        </w:rPr>
        <w:t>FIRMA EL DIRECTOR DE CASA DE LA CULTURA.</w:t>
      </w:r>
    </w:p>
    <w:p>
      <w:pPr>
        <w:tabs>
          <w:tab w:val="left" w:leader="underscore" w:pos="9639"/>
        </w:tabs>
        <w:spacing w:after="0" w:line="240" w:lineRule="auto"/>
        <w:jc w:val="both"/>
        <w:rPr>
          <w:rFonts w:hint="default" w:cs="Calibri"/>
          <w:b/>
          <w:bCs/>
          <w:lang w:val="es-MX"/>
        </w:rPr>
      </w:pPr>
      <w:r>
        <w:rPr>
          <w:rFonts w:hint="default" w:cs="Calibri"/>
          <w:b/>
          <w:bCs/>
          <w:lang w:val="es-MX"/>
        </w:rPr>
        <w:t xml:space="preserve">FIRMA EL CONTADOR QUE GENERA LA INFORMACION FINANCIERA. </w:t>
      </w:r>
    </w:p>
    <w:p>
      <w:pPr>
        <w:pBdr>
          <w:bottom w:val="single" w:color="auto" w:sz="12" w:space="1"/>
        </w:pBdr>
        <w:tabs>
          <w:tab w:val="left" w:leader="underscore" w:pos="9639"/>
        </w:tabs>
        <w:spacing w:after="0" w:line="240" w:lineRule="auto"/>
        <w:jc w:val="both"/>
        <w:rPr>
          <w:rFonts w:cs="Calibri"/>
        </w:rPr>
      </w:pPr>
    </w:p>
    <w:p>
      <w:pPr>
        <w:tabs>
          <w:tab w:val="left" w:leader="underscore" w:pos="9639"/>
        </w:tabs>
        <w:spacing w:after="0" w:line="240" w:lineRule="auto"/>
        <w:jc w:val="both"/>
        <w:rPr>
          <w:rFonts w:asciiTheme="minorHAnsi" w:hAnsiTheme="minorHAnsi" w:cstheme="minorHAnsi"/>
          <w:b/>
          <w:sz w:val="24"/>
          <w:szCs w:val="24"/>
        </w:rPr>
      </w:pPr>
    </w:p>
    <w:p>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b/>
          <w:sz w:val="24"/>
          <w:szCs w:val="24"/>
        </w:rPr>
        <w:t>Nota 1</w:t>
      </w:r>
      <w:r>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pPr>
        <w:pBdr>
          <w:bottom w:val="single" w:color="auto" w:sz="12" w:space="1"/>
        </w:pBd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center"/>
        <w:rPr>
          <w:rFonts w:hint="default" w:cs="Calibri"/>
          <w:lang w:val="es-MX"/>
        </w:rPr>
      </w:pPr>
    </w:p>
    <w:p>
      <w:pPr>
        <w:tabs>
          <w:tab w:val="left" w:leader="underscore" w:pos="9639"/>
        </w:tabs>
        <w:spacing w:after="0" w:line="240" w:lineRule="auto"/>
        <w:jc w:val="center"/>
        <w:rPr>
          <w:rFonts w:hint="default" w:cs="Calibri"/>
          <w:lang w:val="es-MX"/>
        </w:rPr>
      </w:pPr>
      <w:bookmarkStart w:id="17" w:name="_GoBack"/>
      <w:bookmarkEnd w:id="17"/>
      <w:r>
        <w:rPr>
          <w:lang w:eastAsia="es-MX"/>
        </w:rPr>
        <mc:AlternateContent>
          <mc:Choice Requires="wps">
            <w:drawing>
              <wp:anchor distT="0" distB="0" distL="114300" distR="114300" simplePos="0" relativeHeight="251664384" behindDoc="0" locked="0" layoutInCell="1" allowOverlap="1">
                <wp:simplePos x="0" y="0"/>
                <wp:positionH relativeFrom="column">
                  <wp:posOffset>3950970</wp:posOffset>
                </wp:positionH>
                <wp:positionV relativeFrom="paragraph">
                  <wp:posOffset>762635</wp:posOffset>
                </wp:positionV>
                <wp:extent cx="2223135" cy="609600"/>
                <wp:effectExtent l="0" t="0" r="5715" b="0"/>
                <wp:wrapNone/>
                <wp:docPr id="5" name="9 CuadroTexto"/>
                <wp:cNvGraphicFramePr/>
                <a:graphic xmlns:a="http://schemas.openxmlformats.org/drawingml/2006/main">
                  <a:graphicData uri="http://schemas.microsoft.com/office/word/2010/wordprocessingShape">
                    <wps:wsp>
                      <wps:cNvSpPr txBox="1"/>
                      <wps:spPr>
                        <a:xfrm>
                          <a:off x="0" y="0"/>
                          <a:ext cx="2223135" cy="609600"/>
                        </a:xfrm>
                        <a:prstGeom prst="rect">
                          <a:avLst/>
                        </a:prstGeom>
                        <a:solidFill>
                          <a:sysClr val="window" lastClr="FFFFFF"/>
                        </a:solidFill>
                        <a:ln w="9525" cmpd="sng">
                          <a:noFill/>
                        </a:ln>
                        <a:effectLst/>
                      </wps:spPr>
                      <wps:txbx>
                        <w:txbxContent>
                          <w:tbl>
                            <w:tblPr>
                              <w:tblStyle w:val="5"/>
                              <w:tblpPr w:leftFromText="180" w:rightFromText="180" w:horzAnchor="margin" w:tblpXSpec="left" w:tblpY="-226"/>
                              <w:tblOverlap w:val="never"/>
                              <w:tblW w:w="3223" w:type="dxa"/>
                              <w:tblInd w:w="-100" w:type="dxa"/>
                              <w:tblLayout w:type="autofit"/>
                              <w:tblCellMar>
                                <w:top w:w="0" w:type="dxa"/>
                                <w:left w:w="70" w:type="dxa"/>
                                <w:bottom w:w="0" w:type="dxa"/>
                                <w:right w:w="70" w:type="dxa"/>
                              </w:tblCellMar>
                            </w:tblPr>
                            <w:tblGrid>
                              <w:gridCol w:w="3223"/>
                            </w:tblGrid>
                            <w:tr>
                              <w:tblPrEx>
                                <w:tblCellMar>
                                  <w:top w:w="0" w:type="dxa"/>
                                  <w:left w:w="70" w:type="dxa"/>
                                  <w:bottom w:w="0" w:type="dxa"/>
                                  <w:right w:w="70" w:type="dxa"/>
                                </w:tblCellMar>
                              </w:tblPrEx>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CONT</w:t>
                                  </w:r>
                                  <w:r>
                                    <w:rPr>
                                      <w:rFonts w:eastAsia="Times New Roman"/>
                                      <w:color w:val="000000"/>
                                      <w:sz w:val="16"/>
                                      <w:szCs w:val="16"/>
                                      <w:lang w:eastAsia="es-MX"/>
                                    </w:rPr>
                                    <w:t xml:space="preserve">ADOR DE CASA DE LA CULTURA </w:t>
                                  </w:r>
                                </w:p>
                              </w:tc>
                            </w:tr>
                            <w:tr>
                              <w:tblPrEx>
                                <w:tblCellMar>
                                  <w:top w:w="0" w:type="dxa"/>
                                  <w:left w:w="70" w:type="dxa"/>
                                  <w:bottom w:w="0" w:type="dxa"/>
                                  <w:right w:w="70" w:type="dxa"/>
                                </w:tblCellMar>
                              </w:tblPrEx>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hint="default" w:eastAsia="Times New Roman"/>
                                      <w:color w:val="000000"/>
                                      <w:sz w:val="16"/>
                                      <w:szCs w:val="16"/>
                                      <w:lang w:val="en-US" w:eastAsia="es-MX"/>
                                    </w:rPr>
                                  </w:pPr>
                                  <w:r>
                                    <w:rPr>
                                      <w:rFonts w:eastAsia="Times New Roman"/>
                                      <w:color w:val="000000"/>
                                      <w:sz w:val="16"/>
                                      <w:szCs w:val="16"/>
                                      <w:lang w:eastAsia="es-MX"/>
                                    </w:rPr>
                                    <w:t>L.</w:t>
                                  </w:r>
                                  <w:r>
                                    <w:rPr>
                                      <w:rFonts w:hint="default" w:eastAsia="Times New Roman"/>
                                      <w:color w:val="000000"/>
                                      <w:sz w:val="16"/>
                                      <w:szCs w:val="16"/>
                                      <w:lang w:val="en-US" w:eastAsia="es-MX"/>
                                    </w:rPr>
                                    <w:t xml:space="preserve">C.P. Luz Maria Garcia Mejia </w:t>
                                  </w:r>
                                </w:p>
                              </w:tc>
                            </w:tr>
                          </w:tbl>
                          <w:p>
                            <w:pPr>
                              <w:pStyle w:val="10"/>
                              <w:spacing w:before="0" w:beforeAutospacing="0" w:after="0" w:afterAutospacing="0"/>
                            </w:pPr>
                          </w:p>
                        </w:txbxContent>
                      </wps:txbx>
                      <wps:bodyPr vertOverflow="clip" horzOverflow="clip" wrap="square" rtlCol="0" anchor="t"/>
                    </wps:wsp>
                  </a:graphicData>
                </a:graphic>
              </wp:anchor>
            </w:drawing>
          </mc:Choice>
          <mc:Fallback>
            <w:pict>
              <v:shape id="9 CuadroTexto" o:spid="_x0000_s1026" o:spt="202" type="#_x0000_t202" style="position:absolute;left:0pt;margin-left:311.1pt;margin-top:60.05pt;height:48pt;width:175.05pt;z-index:251664384;mso-width-relative:page;mso-height-relative:page;" fillcolor="#FFFFFF" filled="t" stroked="f" coordsize="21600,21600" o:gfxdata="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FgdqNgAAAALAQAADwAAAAAAAAABACAAAAAiAAAAZHJzL2Rvd25yZXYueG1sUEsBAhQA&#10;FAAAAAgAh07iQEtPFl/yAQAA6wMAAA4AAAAAAAAAAQAgAAAAJwEAAGRycy9lMm9Eb2MueG1sUEsF&#10;BgAAAAAGAAYAWQEAAIsFAAAAAA==&#10;">
                <v:fill on="t" focussize="0,0"/>
                <v:stroke on="f"/>
                <v:imagedata o:title=""/>
                <o:lock v:ext="edit" aspectratio="f"/>
                <v:textbox>
                  <w:txbxContent>
                    <w:tbl>
                      <w:tblPr>
                        <w:tblStyle w:val="5"/>
                        <w:tblpPr w:leftFromText="180" w:rightFromText="180" w:horzAnchor="margin" w:tblpXSpec="left" w:tblpY="-226"/>
                        <w:tblOverlap w:val="never"/>
                        <w:tblW w:w="3223" w:type="dxa"/>
                        <w:tblInd w:w="-100" w:type="dxa"/>
                        <w:tblLayout w:type="autofit"/>
                        <w:tblCellMar>
                          <w:top w:w="0" w:type="dxa"/>
                          <w:left w:w="70" w:type="dxa"/>
                          <w:bottom w:w="0" w:type="dxa"/>
                          <w:right w:w="70" w:type="dxa"/>
                        </w:tblCellMar>
                      </w:tblPr>
                      <w:tblGrid>
                        <w:gridCol w:w="3223"/>
                      </w:tblGrid>
                      <w:tr>
                        <w:tblPrEx>
                          <w:tblCellMar>
                            <w:top w:w="0" w:type="dxa"/>
                            <w:left w:w="70" w:type="dxa"/>
                            <w:bottom w:w="0" w:type="dxa"/>
                            <w:right w:w="70" w:type="dxa"/>
                          </w:tblCellMar>
                        </w:tblPrEx>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CONT</w:t>
                            </w:r>
                            <w:r>
                              <w:rPr>
                                <w:rFonts w:eastAsia="Times New Roman"/>
                                <w:color w:val="000000"/>
                                <w:sz w:val="16"/>
                                <w:szCs w:val="16"/>
                                <w:lang w:eastAsia="es-MX"/>
                              </w:rPr>
                              <w:t xml:space="preserve">ADOR DE CASA DE LA CULTURA </w:t>
                            </w:r>
                          </w:p>
                        </w:tc>
                      </w:tr>
                      <w:tr>
                        <w:tblPrEx>
                          <w:tblCellMar>
                            <w:top w:w="0" w:type="dxa"/>
                            <w:left w:w="70" w:type="dxa"/>
                            <w:bottom w:w="0" w:type="dxa"/>
                            <w:right w:w="70" w:type="dxa"/>
                          </w:tblCellMar>
                        </w:tblPrEx>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hint="default" w:eastAsia="Times New Roman"/>
                                <w:color w:val="000000"/>
                                <w:sz w:val="16"/>
                                <w:szCs w:val="16"/>
                                <w:lang w:val="en-US" w:eastAsia="es-MX"/>
                              </w:rPr>
                            </w:pPr>
                            <w:r>
                              <w:rPr>
                                <w:rFonts w:eastAsia="Times New Roman"/>
                                <w:color w:val="000000"/>
                                <w:sz w:val="16"/>
                                <w:szCs w:val="16"/>
                                <w:lang w:eastAsia="es-MX"/>
                              </w:rPr>
                              <w:t>L.</w:t>
                            </w:r>
                            <w:r>
                              <w:rPr>
                                <w:rFonts w:hint="default" w:eastAsia="Times New Roman"/>
                                <w:color w:val="000000"/>
                                <w:sz w:val="16"/>
                                <w:szCs w:val="16"/>
                                <w:lang w:val="en-US" w:eastAsia="es-MX"/>
                              </w:rPr>
                              <w:t xml:space="preserve">C.P. Luz Maria Garcia Mejia </w:t>
                            </w:r>
                          </w:p>
                        </w:tc>
                      </w:tr>
                    </w:tbl>
                    <w:p>
                      <w:pPr>
                        <w:pStyle w:val="10"/>
                        <w:spacing w:before="0" w:beforeAutospacing="0" w:after="0" w:afterAutospacing="0"/>
                      </w:pPr>
                    </w:p>
                  </w:txbxContent>
                </v:textbox>
              </v:shape>
            </w:pict>
          </mc:Fallback>
        </mc:AlternateContent>
      </w:r>
      <w:r>
        <w:rPr>
          <w:lang w:eastAsia="es-MX"/>
        </w:rPr>
        <mc:AlternateContent>
          <mc:Choice Requires="wps">
            <w:drawing>
              <wp:anchor distT="0" distB="0" distL="114300" distR="114300" simplePos="0" relativeHeight="251663360" behindDoc="0" locked="0" layoutInCell="1" allowOverlap="1">
                <wp:simplePos x="0" y="0"/>
                <wp:positionH relativeFrom="column">
                  <wp:posOffset>-382905</wp:posOffset>
                </wp:positionH>
                <wp:positionV relativeFrom="paragraph">
                  <wp:posOffset>761365</wp:posOffset>
                </wp:positionV>
                <wp:extent cx="2679700" cy="1065530"/>
                <wp:effectExtent l="0" t="0" r="6350" b="1270"/>
                <wp:wrapNone/>
                <wp:docPr id="10" name="9 CuadroTexto"/>
                <wp:cNvGraphicFramePr/>
                <a:graphic xmlns:a="http://schemas.openxmlformats.org/drawingml/2006/main">
                  <a:graphicData uri="http://schemas.microsoft.com/office/word/2010/wordprocessingShape">
                    <wps:wsp>
                      <wps:cNvSpPr txBox="1"/>
                      <wps:spPr>
                        <a:xfrm>
                          <a:off x="0" y="0"/>
                          <a:ext cx="2679700" cy="1065530"/>
                        </a:xfrm>
                        <a:prstGeom prst="rect">
                          <a:avLst/>
                        </a:prstGeom>
                        <a:solidFill>
                          <a:sysClr val="window" lastClr="FFFFFF"/>
                        </a:solidFill>
                        <a:ln w="9525" cmpd="sng">
                          <a:noFill/>
                        </a:ln>
                        <a:effectLst/>
                      </wps:spPr>
                      <wps:txbx>
                        <w:txbxContent>
                          <w:p>
                            <w:pPr>
                              <w:pStyle w:val="10"/>
                              <w:spacing w:before="0" w:beforeAutospacing="0" w:after="0" w:afterAutospacing="0"/>
                              <w:rPr>
                                <w:rFonts w:ascii="Arial" w:hAnsi="Arial" w:cs="Arial"/>
                                <w:color w:val="000000"/>
                                <w:sz w:val="16"/>
                                <w:szCs w:val="16"/>
                              </w:rPr>
                            </w:pPr>
                          </w:p>
                          <w:tbl>
                            <w:tblPr>
                              <w:tblStyle w:val="5"/>
                              <w:tblW w:w="4085" w:type="dxa"/>
                              <w:tblInd w:w="55" w:type="dxa"/>
                              <w:tblLayout w:type="autofit"/>
                              <w:tblCellMar>
                                <w:top w:w="0" w:type="dxa"/>
                                <w:left w:w="70" w:type="dxa"/>
                                <w:bottom w:w="0" w:type="dxa"/>
                                <w:right w:w="70" w:type="dxa"/>
                              </w:tblCellMar>
                            </w:tblPr>
                            <w:tblGrid>
                              <w:gridCol w:w="4085"/>
                            </w:tblGrid>
                            <w:tr>
                              <w:tblPrEx>
                                <w:tblCellMar>
                                  <w:top w:w="0" w:type="dxa"/>
                                  <w:left w:w="70" w:type="dxa"/>
                                  <w:bottom w:w="0" w:type="dxa"/>
                                  <w:right w:w="70" w:type="dxa"/>
                                </w:tblCellMar>
                              </w:tblPrEx>
                              <w:trPr>
                                <w:trHeight w:val="300" w:hRule="atLeast"/>
                              </w:trPr>
                              <w:tc>
                                <w:tcPr>
                                  <w:tcW w:w="4085" w:type="dxa"/>
                                  <w:tcBorders>
                                    <w:top w:val="nil"/>
                                    <w:left w:val="nil"/>
                                    <w:bottom w:val="nil"/>
                                    <w:right w:val="nil"/>
                                  </w:tcBorders>
                                  <w:shd w:val="clear" w:color="auto" w:fill="auto"/>
                                  <w:noWrap/>
                                  <w:vAlign w:val="bottom"/>
                                </w:tcPr>
                                <w:p>
                                  <w:pPr>
                                    <w:spacing w:after="0" w:line="240" w:lineRule="auto"/>
                                    <w:rPr>
                                      <w:rFonts w:hint="default" w:eastAsia="Times New Roman"/>
                                      <w:color w:val="000000"/>
                                      <w:lang w:val="en-US" w:eastAsia="es-MX"/>
                                    </w:rPr>
                                  </w:pPr>
                                  <w:r>
                                    <w:rPr>
                                      <w:rFonts w:hint="default" w:eastAsia="Times New Roman"/>
                                      <w:color w:val="000000"/>
                                      <w:sz w:val="16"/>
                                      <w:szCs w:val="16"/>
                                      <w:lang w:val="en-US" w:eastAsia="es-MX"/>
                                    </w:rPr>
                                    <w:t xml:space="preserve">DIRECTORA DE CASA DE LA CULTURA JUVENTINO ROSAS </w:t>
                                  </w:r>
                                </w:p>
                              </w:tc>
                            </w:tr>
                            <w:tr>
                              <w:trPr>
                                <w:trHeight w:val="300" w:hRule="atLeast"/>
                              </w:trPr>
                              <w:tc>
                                <w:tcPr>
                                  <w:tcW w:w="4085" w:type="dxa"/>
                                  <w:tcBorders>
                                    <w:top w:val="nil"/>
                                    <w:left w:val="nil"/>
                                    <w:bottom w:val="nil"/>
                                    <w:right w:val="nil"/>
                                  </w:tcBorders>
                                  <w:shd w:val="clear" w:color="auto" w:fill="auto"/>
                                  <w:noWrap/>
                                  <w:vAlign w:val="bottom"/>
                                </w:tcPr>
                                <w:p>
                                  <w:pPr>
                                    <w:numPr>
                                      <w:ilvl w:val="0"/>
                                      <w:numId w:val="5"/>
                                    </w:num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 xml:space="preserve">VERÓNICA ÁLVAREZ SÁNCHEZ </w:t>
                                  </w:r>
                                  <w:r>
                                    <w:rPr>
                                      <w:rFonts w:eastAsia="Times New Roman"/>
                                      <w:color w:val="000000"/>
                                      <w:sz w:val="16"/>
                                      <w:szCs w:val="16"/>
                                      <w:lang w:eastAsia="es-MX"/>
                                    </w:rPr>
                                    <w:t xml:space="preserve">  </w:t>
                                  </w:r>
                                </w:p>
                                <w:p>
                                  <w:pPr>
                                    <w:spacing w:after="0" w:line="240" w:lineRule="auto"/>
                                    <w:rPr>
                                      <w:rFonts w:eastAsia="Times New Roman"/>
                                      <w:color w:val="000000"/>
                                      <w:lang w:eastAsia="es-MX"/>
                                    </w:rPr>
                                  </w:pPr>
                                </w:p>
                              </w:tc>
                            </w:tr>
                          </w:tbl>
                          <w:p>
                            <w:pPr>
                              <w:pStyle w:val="10"/>
                              <w:spacing w:before="0" w:beforeAutospacing="0" w:after="0" w:afterAutospacing="0"/>
                            </w:pPr>
                          </w:p>
                        </w:txbxContent>
                      </wps:txbx>
                      <wps:bodyPr vertOverflow="clip" horzOverflow="clip" wrap="square" rtlCol="0" anchor="t">
                        <a:noAutofit/>
                      </wps:bodyPr>
                    </wps:wsp>
                  </a:graphicData>
                </a:graphic>
              </wp:anchor>
            </w:drawing>
          </mc:Choice>
          <mc:Fallback>
            <w:pict>
              <v:shape id="9 CuadroTexto" o:spid="_x0000_s1026" o:spt="202" type="#_x0000_t202" style="position:absolute;left:0pt;margin-left:-30.15pt;margin-top:59.95pt;height:83.9pt;width:211pt;z-index:251663360;mso-width-relative:page;mso-height-relative:page;" fillcolor="#FFFFFF" filled="t" stroked="f" coordsize="21600,21600" o:gfxdata="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RygC2QAAAAsBAAAPAAAAAAAAAAEAIAAAACIAAABkcnMvZG93&#10;bnJldi54bWxQSwECFAAUAAAACACHTuJAUwNkNv8BAAAHBAAADgAAAAAAAAABACAAAAAoAQAAZHJz&#10;L2Uyb0RvYy54bWxQSwUGAAAAAAYABgBZAQAAmQUAAAAA&#10;">
                <v:fill on="t" focussize="0,0"/>
                <v:stroke on="f"/>
                <v:imagedata o:title=""/>
                <o:lock v:ext="edit" aspectratio="f"/>
                <v:textbox>
                  <w:txbxContent>
                    <w:p>
                      <w:pPr>
                        <w:pStyle w:val="10"/>
                        <w:spacing w:before="0" w:beforeAutospacing="0" w:after="0" w:afterAutospacing="0"/>
                        <w:rPr>
                          <w:rFonts w:ascii="Arial" w:hAnsi="Arial" w:cs="Arial"/>
                          <w:color w:val="000000"/>
                          <w:sz w:val="16"/>
                          <w:szCs w:val="16"/>
                        </w:rPr>
                      </w:pPr>
                    </w:p>
                    <w:tbl>
                      <w:tblPr>
                        <w:tblStyle w:val="5"/>
                        <w:tblW w:w="4085" w:type="dxa"/>
                        <w:tblInd w:w="55" w:type="dxa"/>
                        <w:tblLayout w:type="autofit"/>
                        <w:tblCellMar>
                          <w:top w:w="0" w:type="dxa"/>
                          <w:left w:w="70" w:type="dxa"/>
                          <w:bottom w:w="0" w:type="dxa"/>
                          <w:right w:w="70" w:type="dxa"/>
                        </w:tblCellMar>
                      </w:tblPr>
                      <w:tblGrid>
                        <w:gridCol w:w="4085"/>
                      </w:tblGrid>
                      <w:tr>
                        <w:trPr>
                          <w:trHeight w:val="300" w:hRule="atLeast"/>
                        </w:trPr>
                        <w:tc>
                          <w:tcPr>
                            <w:tcW w:w="4085" w:type="dxa"/>
                            <w:tcBorders>
                              <w:top w:val="nil"/>
                              <w:left w:val="nil"/>
                              <w:bottom w:val="nil"/>
                              <w:right w:val="nil"/>
                            </w:tcBorders>
                            <w:shd w:val="clear" w:color="auto" w:fill="auto"/>
                            <w:noWrap/>
                            <w:vAlign w:val="bottom"/>
                          </w:tcPr>
                          <w:p>
                            <w:pPr>
                              <w:spacing w:after="0" w:line="240" w:lineRule="auto"/>
                              <w:rPr>
                                <w:rFonts w:hint="default" w:eastAsia="Times New Roman"/>
                                <w:color w:val="000000"/>
                                <w:lang w:val="en-US" w:eastAsia="es-MX"/>
                              </w:rPr>
                            </w:pPr>
                            <w:r>
                              <w:rPr>
                                <w:rFonts w:hint="default" w:eastAsia="Times New Roman"/>
                                <w:color w:val="000000"/>
                                <w:sz w:val="16"/>
                                <w:szCs w:val="16"/>
                                <w:lang w:val="en-US" w:eastAsia="es-MX"/>
                              </w:rPr>
                              <w:t xml:space="preserve">DIRECTORA DE CASA DE LA CULTURA JUVENTINO ROSAS </w:t>
                            </w:r>
                          </w:p>
                        </w:tc>
                      </w:tr>
                      <w:tr>
                        <w:tblPrEx>
                          <w:tblCellMar>
                            <w:top w:w="0" w:type="dxa"/>
                            <w:left w:w="70" w:type="dxa"/>
                            <w:bottom w:w="0" w:type="dxa"/>
                            <w:right w:w="70" w:type="dxa"/>
                          </w:tblCellMar>
                        </w:tblPrEx>
                        <w:trPr>
                          <w:trHeight w:val="300" w:hRule="atLeast"/>
                        </w:trPr>
                        <w:tc>
                          <w:tcPr>
                            <w:tcW w:w="4085" w:type="dxa"/>
                            <w:tcBorders>
                              <w:top w:val="nil"/>
                              <w:left w:val="nil"/>
                              <w:bottom w:val="nil"/>
                              <w:right w:val="nil"/>
                            </w:tcBorders>
                            <w:shd w:val="clear" w:color="auto" w:fill="auto"/>
                            <w:noWrap/>
                            <w:vAlign w:val="bottom"/>
                          </w:tcPr>
                          <w:p>
                            <w:pPr>
                              <w:numPr>
                                <w:ilvl w:val="0"/>
                                <w:numId w:val="5"/>
                              </w:num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 xml:space="preserve">VERÓNICA ÁLVAREZ SÁNCHEZ </w:t>
                            </w:r>
                            <w:r>
                              <w:rPr>
                                <w:rFonts w:eastAsia="Times New Roman"/>
                                <w:color w:val="000000"/>
                                <w:sz w:val="16"/>
                                <w:szCs w:val="16"/>
                                <w:lang w:eastAsia="es-MX"/>
                              </w:rPr>
                              <w:t xml:space="preserve">  </w:t>
                            </w:r>
                          </w:p>
                          <w:p>
                            <w:pPr>
                              <w:spacing w:after="0" w:line="240" w:lineRule="auto"/>
                              <w:rPr>
                                <w:rFonts w:eastAsia="Times New Roman"/>
                                <w:color w:val="000000"/>
                                <w:lang w:eastAsia="es-MX"/>
                              </w:rPr>
                            </w:pPr>
                          </w:p>
                        </w:tc>
                      </w:tr>
                    </w:tbl>
                    <w:p>
                      <w:pPr>
                        <w:pStyle w:val="10"/>
                        <w:spacing w:before="0" w:beforeAutospacing="0" w:after="0" w:afterAutospacing="0"/>
                      </w:pPr>
                    </w:p>
                  </w:txbxContent>
                </v:textbox>
              </v:shape>
            </w:pict>
          </mc:Fallback>
        </mc:AlternateContent>
      </w:r>
      <w:r>
        <w:rPr>
          <w:sz w:val="22"/>
        </w:rPr>
        <mc:AlternateContent>
          <mc:Choice Requires="wps">
            <w:drawing>
              <wp:anchor distT="0" distB="0" distL="114300" distR="114300" simplePos="0" relativeHeight="251662336" behindDoc="0" locked="0" layoutInCell="1" allowOverlap="1">
                <wp:simplePos x="0" y="0"/>
                <wp:positionH relativeFrom="column">
                  <wp:posOffset>3907790</wp:posOffset>
                </wp:positionH>
                <wp:positionV relativeFrom="paragraph">
                  <wp:posOffset>668020</wp:posOffset>
                </wp:positionV>
                <wp:extent cx="2277745" cy="8890"/>
                <wp:effectExtent l="0" t="0" r="0" b="0"/>
                <wp:wrapNone/>
                <wp:docPr id="4" name="Conector recto 4"/>
                <wp:cNvGraphicFramePr/>
                <a:graphic xmlns:a="http://schemas.openxmlformats.org/drawingml/2006/main">
                  <a:graphicData uri="http://schemas.microsoft.com/office/word/2010/wordprocessingShape">
                    <wps:wsp>
                      <wps:cNvCnPr/>
                      <wps:spPr>
                        <a:xfrm>
                          <a:off x="4808220" y="8497570"/>
                          <a:ext cx="22777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7.7pt;margin-top:52.6pt;height:0.7pt;width:179.35pt;z-index:251662336;mso-width-relative:page;mso-height-relative:page;" filled="f" stroked="t" coordsize="21600,21600" o:gfxdata="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KBYbzYAAAACwEAAA8A&#10;AAAAAAAAAQAgAAAAIgAAAGRycy9kb3ducmV2LnhtbFBLAQIUABQAAAAIAIdO4kBoViYb3gEAAL8D&#10;AAAOAAAAAAAAAAEAIAAAACcBAABkcnMvZTJvRG9jLnhtbFBLBQYAAAAABgAGAFkBAAB3BQAAAAA=&#10;">
                <v:fill on="f" focussize="0,0"/>
                <v:stroke weight="0.5pt" color="#000000 [3200]" miterlimit="8" joinstyle="miter"/>
                <v:imagedata o:title=""/>
                <o:lock v:ext="edit" aspectratio="f"/>
              </v:line>
            </w:pict>
          </mc:Fallback>
        </mc:AlternateContent>
      </w:r>
      <w:r>
        <w:rPr>
          <w:sz w:val="22"/>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694055</wp:posOffset>
                </wp:positionV>
                <wp:extent cx="2138680" cy="8890"/>
                <wp:effectExtent l="0" t="0" r="0" b="0"/>
                <wp:wrapNone/>
                <wp:docPr id="2" name="Conector recto 2"/>
                <wp:cNvGraphicFramePr/>
                <a:graphic xmlns:a="http://schemas.openxmlformats.org/drawingml/2006/main">
                  <a:graphicData uri="http://schemas.microsoft.com/office/word/2010/wordprocessingShape">
                    <wps:wsp>
                      <wps:cNvCnPr/>
                      <wps:spPr>
                        <a:xfrm flipV="1">
                          <a:off x="747395" y="8523605"/>
                          <a:ext cx="213868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05pt;margin-top:54.65pt;height:0.7pt;width:168.4pt;z-index:251661312;mso-width-relative:page;mso-height-relative:page;" filled="f" stroked="t" coordsize="21600,21600" o:gfxdata="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2Ex6tgA&#10;AAALAQAADwAAAAAAAAABACAAAAAiAAAAZHJzL2Rvd25yZXYueG1sUEsBAhQAFAAAAAgAh07iQBx9&#10;1HXmAQAAyAMAAA4AAAAAAAAAAQAgAAAAJwEAAGRycy9lMm9Eb2MueG1sUEsFBgAAAAAGAAYAWQEA&#10;AH8FAAAAAA==&#10;">
                <v:fill on="f" focussize="0,0"/>
                <v:stroke weight="0.5pt" color="#000000 [3200]" miterlimit="8" joinstyle="miter"/>
                <v:imagedata o:title=""/>
                <o:lock v:ext="edit" aspectratio="f"/>
              </v:line>
            </w:pict>
          </mc:Fallback>
        </mc:AlternateContent>
      </w:r>
      <w:r>
        <w:rPr>
          <w:lang w:eastAsia="es-MX"/>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106680</wp:posOffset>
                </wp:positionV>
                <wp:extent cx="552450" cy="247650"/>
                <wp:effectExtent l="0" t="0" r="0" b="0"/>
                <wp:wrapNone/>
                <wp:docPr id="1"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pPr>
                              <w:pStyle w:val="10"/>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id="6 CuadroTexto" o:spid="_x0000_s1026" o:spt="202" type="#_x0000_t202" style="position:absolute;left:0pt;margin-left:370.5pt;margin-top:8.4pt;height:19.5pt;width:43.5pt;z-index:251660288;mso-width-relative:page;mso-height-relative:page;" fillcolor="#FFFFFF" filled="t" stroked="f" coordsize="21600,21600" o:gfxdata="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tlV5tYAAAAJAQAADwAAAAAAAAABACAAAAAiAAAAZHJzL2Rvd25yZXYueG1sUEsBAhQAFAAAAAgA&#10;h07iQI8UfibuAQAA6gMAAA4AAAAAAAAAAQAgAAAAJQEAAGRycy9lMm9Eb2MueG1sUEsFBgAAAAAG&#10;AAYAWQEAAIUFAAAAAA==&#10;">
                <v:fill on="t" focussize="0,0"/>
                <v:stroke on="f"/>
                <v:imagedata o:title=""/>
                <o:lock v:ext="edit" aspectratio="f"/>
                <v:textbox>
                  <w:txbxContent>
                    <w:p>
                      <w:pPr>
                        <w:pStyle w:val="10"/>
                        <w:spacing w:before="0" w:beforeAutospacing="0" w:after="0" w:afterAutospacing="0"/>
                      </w:pPr>
                      <w:r>
                        <w:rPr>
                          <w:rFonts w:ascii="Arial" w:hAnsi="Arial" w:cs="Arial"/>
                          <w:color w:val="000000"/>
                          <w:sz w:val="16"/>
                          <w:szCs w:val="16"/>
                        </w:rPr>
                        <w:t>Firma</w:t>
                      </w:r>
                    </w:p>
                  </w:txbxContent>
                </v:textbox>
              </v:shape>
            </w:pict>
          </mc:Fallback>
        </mc:AlternateContent>
      </w:r>
      <w:r>
        <w:rPr>
          <w:lang w:eastAsia="es-MX"/>
        </w:rPr>
        <mc:AlternateContent>
          <mc:Choice Requires="wps">
            <w:drawing>
              <wp:anchor distT="0" distB="0" distL="114300" distR="114300" simplePos="0" relativeHeight="251659264" behindDoc="0" locked="0" layoutInCell="1" allowOverlap="1">
                <wp:simplePos x="0" y="0"/>
                <wp:positionH relativeFrom="column">
                  <wp:posOffset>587375</wp:posOffset>
                </wp:positionH>
                <wp:positionV relativeFrom="paragraph">
                  <wp:posOffset>75565</wp:posOffset>
                </wp:positionV>
                <wp:extent cx="552450" cy="247650"/>
                <wp:effectExtent l="0" t="0" r="0" b="0"/>
                <wp:wrapNone/>
                <wp:docPr id="7"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pPr>
                              <w:pStyle w:val="10"/>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id="6 CuadroTexto" o:spid="_x0000_s1026" o:spt="202" type="#_x0000_t202" style="position:absolute;left:0pt;margin-left:46.25pt;margin-top:5.95pt;height:19.5pt;width:43.5pt;z-index:251659264;mso-width-relative:page;mso-height-relative:page;" fillcolor="#FFFFFF" filled="t" stroked="f" coordsize="21600,21600" o:gfxdata="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N6mFbVAAAACAEAAA8AAAAAAAAAAQAgAAAAIgAAAGRycy9kb3ducmV2LnhtbFBLAQIUABQAAAAI&#10;AIdO4kCRquBl8AEAAOoDAAAOAAAAAAAAAAEAIAAAACQBAABkcnMvZTJvRG9jLnhtbFBLBQYAAAAA&#10;BgAGAFkBAACGBQAAAAA=&#10;">
                <v:fill on="t" focussize="0,0"/>
                <v:stroke on="f"/>
                <v:imagedata o:title=""/>
                <o:lock v:ext="edit" aspectratio="f"/>
                <v:textbox>
                  <w:txbxContent>
                    <w:p>
                      <w:pPr>
                        <w:pStyle w:val="10"/>
                        <w:spacing w:before="0" w:beforeAutospacing="0" w:after="0" w:afterAutospacing="0"/>
                      </w:pPr>
                      <w:r>
                        <w:rPr>
                          <w:rFonts w:ascii="Arial" w:hAnsi="Arial" w:cs="Arial"/>
                          <w:color w:val="000000"/>
                          <w:sz w:val="16"/>
                          <w:szCs w:val="16"/>
                        </w:rPr>
                        <w:t>Firma</w:t>
                      </w:r>
                    </w:p>
                  </w:txbxContent>
                </v:textbox>
              </v:shape>
            </w:pict>
          </mc:Fallback>
        </mc:AlternateContent>
      </w:r>
    </w:p>
    <w:sectPr>
      <w:headerReference r:id="rId5" w:type="default"/>
      <w:footerReference r:id="rId6" w:type="default"/>
      <w:pgSz w:w="12240" w:h="15840"/>
      <w:pgMar w:top="1418" w:right="1134" w:bottom="1134" w:left="1418" w:header="709"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267310"/>
      <w:docPartObj>
        <w:docPartGallery w:val="AutoText"/>
      </w:docPartObj>
    </w:sdtPr>
    <w:sdtContent>
      <w:p>
        <w:pPr>
          <w:pStyle w:val="11"/>
          <w:jc w:val="right"/>
        </w:pPr>
        <w:r>
          <w:fldChar w:fldCharType="begin"/>
        </w:r>
        <w:r>
          <w:instrText xml:space="preserve">PAGE   \* MERGEFORMAT</w:instrText>
        </w:r>
        <w:r>
          <w:fldChar w:fldCharType="separate"/>
        </w:r>
        <w:r>
          <w:rPr>
            <w:lang w:val="es-ES"/>
          </w:rPr>
          <w:t>1</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0" w:line="240" w:lineRule="auto"/>
      <w:jc w:val="center"/>
      <w:rPr>
        <w:rFonts w:hint="default"/>
        <w:b/>
        <w:bCs/>
        <w:sz w:val="24"/>
        <w:szCs w:val="24"/>
        <w:lang w:val="es-MX"/>
      </w:rPr>
    </w:pPr>
    <w:r>
      <w:rPr>
        <w:rFonts w:hint="default"/>
        <w:b/>
        <w:bCs/>
        <w:sz w:val="24"/>
        <w:szCs w:val="24"/>
        <w:lang w:val="es-MX"/>
      </w:rPr>
      <w:t>CASA DE LA CULTURA JUVENTINO ROSAS</w:t>
    </w:r>
  </w:p>
  <w:p>
    <w:pPr>
      <w:pStyle w:val="9"/>
      <w:spacing w:after="0" w:line="240" w:lineRule="auto"/>
      <w:jc w:val="center"/>
      <w:rPr>
        <w:rFonts w:hint="default"/>
        <w:lang w:val="es-MX"/>
      </w:rPr>
    </w:pPr>
    <w:r>
      <w:t xml:space="preserve">CORRESPONDINTES AL </w:t>
    </w:r>
    <w:r>
      <w:rPr>
        <w:rFonts w:hint="default"/>
        <w:lang w:val="es-MX"/>
      </w:rPr>
      <w:t>31 DE MARZO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6380E"/>
    <w:multiLevelType w:val="singleLevel"/>
    <w:tmpl w:val="95E6380E"/>
    <w:lvl w:ilvl="0" w:tentative="0">
      <w:start w:val="3"/>
      <w:numFmt w:val="upperLetter"/>
      <w:suff w:val="space"/>
      <w:lvlText w:val="%1."/>
      <w:lvlJc w:val="left"/>
    </w:lvl>
  </w:abstractNum>
  <w:abstractNum w:abstractNumId="1">
    <w:nsid w:val="A9AC6A31"/>
    <w:multiLevelType w:val="singleLevel"/>
    <w:tmpl w:val="A9AC6A31"/>
    <w:lvl w:ilvl="0" w:tentative="0">
      <w:start w:val="7"/>
      <w:numFmt w:val="decimal"/>
      <w:suff w:val="space"/>
      <w:lvlText w:val="%1."/>
      <w:lvlJc w:val="left"/>
    </w:lvl>
  </w:abstractNum>
  <w:abstractNum w:abstractNumId="2">
    <w:nsid w:val="572A246B"/>
    <w:multiLevelType w:val="multilevel"/>
    <w:tmpl w:val="572A246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E3B18F9"/>
    <w:multiLevelType w:val="singleLevel"/>
    <w:tmpl w:val="5E3B18F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6B7E470C"/>
    <w:multiLevelType w:val="singleLevel"/>
    <w:tmpl w:val="6B7E470C"/>
    <w:lvl w:ilvl="0" w:tentative="0">
      <w:start w:val="1"/>
      <w:numFmt w:val="lowerLetter"/>
      <w:suff w:val="space"/>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 w:val="02B5206A"/>
    <w:rsid w:val="6287549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es-MX"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unhideWhenUsed/>
    <w:qFormat/>
    <w:uiPriority w:val="99"/>
    <w:rPr>
      <w:color w:val="0000FF"/>
      <w:u w:val="single"/>
    </w:rPr>
  </w:style>
  <w:style w:type="paragraph" w:styleId="7">
    <w:name w:val="toc 2"/>
    <w:basedOn w:val="1"/>
    <w:next w:val="1"/>
    <w:unhideWhenUsed/>
    <w:qFormat/>
    <w:uiPriority w:val="39"/>
    <w:pPr>
      <w:spacing w:after="100"/>
      <w:ind w:left="220"/>
    </w:pPr>
  </w:style>
  <w:style w:type="paragraph" w:styleId="8">
    <w:name w:val="Balloon Text"/>
    <w:basedOn w:val="1"/>
    <w:link w:val="17"/>
    <w:semiHidden/>
    <w:unhideWhenUsed/>
    <w:qFormat/>
    <w:uiPriority w:val="99"/>
    <w:pPr>
      <w:spacing w:after="0" w:line="240" w:lineRule="auto"/>
    </w:pPr>
    <w:rPr>
      <w:rFonts w:ascii="Tahoma" w:hAnsi="Tahoma" w:cs="Tahoma"/>
      <w:sz w:val="16"/>
      <w:szCs w:val="16"/>
    </w:rPr>
  </w:style>
  <w:style w:type="paragraph" w:styleId="9">
    <w:name w:val="header"/>
    <w:basedOn w:val="1"/>
    <w:link w:val="15"/>
    <w:unhideWhenUsed/>
    <w:qFormat/>
    <w:uiPriority w:val="99"/>
    <w:pPr>
      <w:tabs>
        <w:tab w:val="center" w:pos="4419"/>
        <w:tab w:val="right" w:pos="8838"/>
      </w:tabs>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es-MX"/>
    </w:rPr>
  </w:style>
  <w:style w:type="paragraph" w:styleId="11">
    <w:name w:val="footer"/>
    <w:basedOn w:val="1"/>
    <w:link w:val="16"/>
    <w:unhideWhenUsed/>
    <w:qFormat/>
    <w:uiPriority w:val="99"/>
    <w:pPr>
      <w:tabs>
        <w:tab w:val="center" w:pos="4419"/>
        <w:tab w:val="right" w:pos="8838"/>
      </w:tabs>
    </w:pPr>
  </w:style>
  <w:style w:type="paragraph" w:styleId="12">
    <w:name w:val="Title"/>
    <w:basedOn w:val="1"/>
    <w:next w:val="1"/>
    <w:link w:val="18"/>
    <w:qFormat/>
    <w:uiPriority w:val="10"/>
    <w:pPr>
      <w:spacing w:after="0" w:line="240" w:lineRule="auto"/>
      <w:contextualSpacing/>
    </w:pPr>
    <w:rPr>
      <w:rFonts w:asciiTheme="majorHAnsi" w:hAnsiTheme="majorHAnsi" w:eastAsiaTheme="majorEastAsia" w:cstheme="majorBidi"/>
      <w:spacing w:val="-10"/>
      <w:kern w:val="28"/>
      <w:sz w:val="56"/>
      <w:szCs w:val="56"/>
    </w:rPr>
  </w:style>
  <w:style w:type="table" w:styleId="13">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Encabezado Car"/>
    <w:link w:val="9"/>
    <w:qFormat/>
    <w:uiPriority w:val="99"/>
    <w:rPr>
      <w:sz w:val="22"/>
      <w:szCs w:val="22"/>
      <w:lang w:eastAsia="en-US"/>
    </w:rPr>
  </w:style>
  <w:style w:type="character" w:customStyle="1" w:styleId="16">
    <w:name w:val="Pie de página Car"/>
    <w:link w:val="11"/>
    <w:qFormat/>
    <w:uiPriority w:val="99"/>
    <w:rPr>
      <w:sz w:val="22"/>
      <w:szCs w:val="22"/>
      <w:lang w:eastAsia="en-US"/>
    </w:rPr>
  </w:style>
  <w:style w:type="character" w:customStyle="1" w:styleId="17">
    <w:name w:val="Texto de globo Car"/>
    <w:link w:val="8"/>
    <w:semiHidden/>
    <w:qFormat/>
    <w:uiPriority w:val="99"/>
    <w:rPr>
      <w:rFonts w:ascii="Tahoma" w:hAnsi="Tahoma" w:cs="Tahoma"/>
      <w:sz w:val="16"/>
      <w:szCs w:val="16"/>
      <w:lang w:eastAsia="en-US"/>
    </w:rPr>
  </w:style>
  <w:style w:type="character" w:customStyle="1" w:styleId="18">
    <w:name w:val="Título Car"/>
    <w:basedOn w:val="4"/>
    <w:link w:val="12"/>
    <w:qFormat/>
    <w:uiPriority w:val="10"/>
    <w:rPr>
      <w:rFonts w:asciiTheme="majorHAnsi" w:hAnsiTheme="majorHAnsi" w:eastAsiaTheme="majorEastAsia" w:cstheme="majorBidi"/>
      <w:spacing w:val="-10"/>
      <w:kern w:val="28"/>
      <w:sz w:val="56"/>
      <w:szCs w:val="56"/>
      <w:lang w:eastAsia="en-US"/>
    </w:rPr>
  </w:style>
  <w:style w:type="character" w:customStyle="1" w:styleId="19">
    <w:name w:val="Título 2 Car"/>
    <w:basedOn w:val="4"/>
    <w:link w:val="3"/>
    <w:qFormat/>
    <w:uiPriority w:val="9"/>
    <w:rPr>
      <w:rFonts w:asciiTheme="majorHAnsi" w:hAnsiTheme="majorHAnsi" w:eastAsiaTheme="majorEastAsia" w:cstheme="majorBidi"/>
      <w:color w:val="2E75B6" w:themeColor="accent1" w:themeShade="BF"/>
      <w:sz w:val="26"/>
      <w:szCs w:val="26"/>
      <w:lang w:eastAsia="en-US"/>
    </w:rPr>
  </w:style>
  <w:style w:type="character" w:customStyle="1" w:styleId="20">
    <w:name w:val="Título 1 Car"/>
    <w:basedOn w:val="4"/>
    <w:link w:val="2"/>
    <w:qFormat/>
    <w:uiPriority w:val="9"/>
    <w:rPr>
      <w:rFonts w:asciiTheme="majorHAnsi" w:hAnsiTheme="majorHAnsi" w:eastAsiaTheme="majorEastAsia" w:cstheme="majorBidi"/>
      <w:color w:val="2E75B6" w:themeColor="accent1" w:themeShade="BF"/>
      <w:sz w:val="32"/>
      <w:szCs w:val="32"/>
      <w:lang w:eastAsia="en-US"/>
    </w:rPr>
  </w:style>
  <w:style w:type="paragraph" w:customStyle="1" w:styleId="21">
    <w:name w:val="TOC Heading"/>
    <w:basedOn w:val="2"/>
    <w:next w:val="1"/>
    <w:unhideWhenUsed/>
    <w:qFormat/>
    <w:uiPriority w:val="39"/>
    <w:pPr>
      <w:spacing w:line="259" w:lineRule="auto"/>
      <w:outlineLvl w:val="9"/>
    </w:pPr>
    <w:rPr>
      <w:lang w:eastAsia="es-MX"/>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406D9B-0543-4488-8847-414A9DEFBC5D}" type="doc">
      <dgm:prSet loTypeId="urn:microsoft.com/office/officeart/2005/8/layout/hierarchy1" loCatId="hierarchy" qsTypeId="urn:microsoft.com/office/officeart/2005/8/quickstyle/simple1" qsCatId="simple" csTypeId="urn:microsoft.com/office/officeart/2005/8/colors/accent1_2" csCatId="accent1" phldr="1"/>
      <dgm:spPr/>
      <dgm:t>
        <a:bodyPr/>
        <a:p>
          <a:endParaRPr lang="es-MX"/>
        </a:p>
      </dgm:t>
    </dgm:pt>
    <dgm:pt modelId="{04340418-35F6-4E2F-84FF-BE670E42C0CD}">
      <dgm:prSet phldrT="[Texto]"/>
      <dgm:spPr/>
      <dgm:t>
        <a:bodyPr/>
        <a:p>
          <a:r>
            <a:rPr lang="es-MX"/>
            <a:t>Presidente </a:t>
          </a:r>
        </a:p>
        <a:p>
          <a:r>
            <a:rPr lang="es-MX"/>
            <a:t>Gobierno Municipal</a:t>
          </a:r>
        </a:p>
      </dgm:t>
    </dgm:pt>
    <dgm:pt modelId="{1F335BE4-7287-45A7-855F-4F74964390B0}" cxnId="{CE9133B7-748D-43A8-BC27-053BBC081F47}" type="parTrans">
      <dgm:prSet/>
      <dgm:spPr/>
      <dgm:t>
        <a:bodyPr/>
        <a:p>
          <a:endParaRPr lang="es-MX"/>
        </a:p>
      </dgm:t>
    </dgm:pt>
    <dgm:pt modelId="{1D40C852-09C6-4D65-87C9-F18FCCBD11A2}" cxnId="{CE9133B7-748D-43A8-BC27-053BBC081F47}" type="sibTrans">
      <dgm:prSet/>
      <dgm:spPr/>
      <dgm:t>
        <a:bodyPr/>
        <a:p>
          <a:endParaRPr lang="es-MX"/>
        </a:p>
      </dgm:t>
    </dgm:pt>
    <dgm:pt modelId="{3B20F047-4AEE-46A5-8E61-5012A0DF9055}">
      <dgm:prSet phldrT="[Texto]"/>
      <dgm:spPr/>
      <dgm:t>
        <a:bodyPr/>
        <a:p>
          <a:r>
            <a:rPr lang="es-MX"/>
            <a:t>Directora</a:t>
          </a:r>
        </a:p>
        <a:p>
          <a:r>
            <a:rPr lang="es-MX"/>
            <a:t>Casa de la Cultura</a:t>
          </a:r>
        </a:p>
      </dgm:t>
    </dgm:pt>
    <dgm:pt modelId="{07896550-6E36-45E1-9091-28698B2B2511}" cxnId="{3C10DEE4-B33A-4A67-9FE4-4AD003F70D52}" type="parTrans">
      <dgm:prSet/>
      <dgm:spPr/>
      <dgm:t>
        <a:bodyPr/>
        <a:p>
          <a:endParaRPr lang="es-MX"/>
        </a:p>
      </dgm:t>
    </dgm:pt>
    <dgm:pt modelId="{204EFA89-0CD3-442B-AFCA-8693D11F8AA0}" cxnId="{3C10DEE4-B33A-4A67-9FE4-4AD003F70D52}" type="sibTrans">
      <dgm:prSet/>
      <dgm:spPr/>
      <dgm:t>
        <a:bodyPr/>
        <a:p>
          <a:endParaRPr lang="es-MX"/>
        </a:p>
      </dgm:t>
    </dgm:pt>
    <dgm:pt modelId="{A1E9AF7E-A5D9-4F8B-9B46-50CF09799024}">
      <dgm:prSet phldrT="[Texto]"/>
      <dgm:spPr/>
      <dgm:t>
        <a:bodyPr/>
        <a:p>
          <a:r>
            <a:rPr lang="es-MX"/>
            <a:t>Administrador</a:t>
          </a:r>
        </a:p>
      </dgm:t>
    </dgm:pt>
    <dgm:pt modelId="{788C5E45-7790-4BE8-8E7C-D032D41DB788}" cxnId="{9BB0D964-3A5A-459E-8DAE-7BEC1429589E}" type="parTrans">
      <dgm:prSet/>
      <dgm:spPr/>
      <dgm:t>
        <a:bodyPr/>
        <a:p>
          <a:endParaRPr lang="es-MX"/>
        </a:p>
      </dgm:t>
    </dgm:pt>
    <dgm:pt modelId="{8599AB54-096B-4B22-80A8-BB5B5BDC2B45}" cxnId="{9BB0D964-3A5A-459E-8DAE-7BEC1429589E}" type="sibTrans">
      <dgm:prSet/>
      <dgm:spPr/>
      <dgm:t>
        <a:bodyPr/>
        <a:p>
          <a:endParaRPr lang="es-MX"/>
        </a:p>
      </dgm:t>
    </dgm:pt>
    <dgm:pt modelId="{799A7F47-8D82-4167-83CB-C6709BCFF5EE}">
      <dgm:prSet phldrT="[Texto]"/>
      <dgm:spPr/>
      <dgm:t>
        <a:bodyPr/>
        <a:p>
          <a:r>
            <a:rPr lang="es-MX"/>
            <a:t>Bibliotecarias</a:t>
          </a:r>
        </a:p>
      </dgm:t>
    </dgm:pt>
    <dgm:pt modelId="{2ECDE283-A5FD-4828-9600-2D878672BE8A}" cxnId="{2005BE74-822F-498F-8A46-F9CDBF428266}" type="parTrans">
      <dgm:prSet/>
      <dgm:spPr/>
      <dgm:t>
        <a:bodyPr/>
        <a:p>
          <a:endParaRPr lang="es-MX"/>
        </a:p>
      </dgm:t>
    </dgm:pt>
    <dgm:pt modelId="{79044862-76BA-484F-919C-0C66C582084B}" cxnId="{2005BE74-822F-498F-8A46-F9CDBF428266}" type="sibTrans">
      <dgm:prSet/>
      <dgm:spPr/>
      <dgm:t>
        <a:bodyPr/>
        <a:p>
          <a:endParaRPr lang="es-MX"/>
        </a:p>
      </dgm:t>
    </dgm:pt>
    <dgm:pt modelId="{D5BB8E45-BD17-4B8B-A1D8-D890AF9FBB7E}">
      <dgm:prSet phldrT="[Texto]"/>
      <dgm:spPr/>
      <dgm:t>
        <a:bodyPr/>
        <a:p>
          <a:r>
            <a:rPr lang="es-MX"/>
            <a:t>Consejo Directivo</a:t>
          </a:r>
        </a:p>
      </dgm:t>
    </dgm:pt>
    <dgm:pt modelId="{7AD38450-B1F6-4819-A65B-C67077F0C0AF}" cxnId="{3629DD0F-07D8-44AD-9053-E1A4AB160DCF}" type="parTrans">
      <dgm:prSet/>
      <dgm:spPr/>
      <dgm:t>
        <a:bodyPr/>
        <a:p>
          <a:endParaRPr lang="es-MX"/>
        </a:p>
      </dgm:t>
    </dgm:pt>
    <dgm:pt modelId="{85C290BD-094F-4976-A213-769F31D4F23D}" cxnId="{3629DD0F-07D8-44AD-9053-E1A4AB160DCF}" type="sibTrans">
      <dgm:prSet/>
      <dgm:spPr/>
      <dgm:t>
        <a:bodyPr/>
        <a:p>
          <a:endParaRPr lang="es-MX"/>
        </a:p>
      </dgm:t>
    </dgm:pt>
    <dgm:pt modelId="{20A82D38-7D0F-45C3-BEDC-AFCB9E987773}">
      <dgm:prSet/>
      <dgm:spPr/>
      <dgm:t>
        <a:bodyPr/>
        <a:p>
          <a:r>
            <a:rPr lang="es-MX"/>
            <a:t>Director </a:t>
          </a:r>
        </a:p>
        <a:p>
          <a:r>
            <a:rPr lang="es-MX"/>
            <a:t>Banda Sinfónica</a:t>
          </a:r>
        </a:p>
      </dgm:t>
    </dgm:pt>
    <dgm:pt modelId="{5A1447A6-8984-4D00-B261-C9028857BEE7}" cxnId="{C3921048-4516-48AC-B361-22CB407EA0C5}" type="parTrans">
      <dgm:prSet/>
      <dgm:spPr/>
      <dgm:t>
        <a:bodyPr/>
        <a:p>
          <a:endParaRPr lang="es-MX"/>
        </a:p>
      </dgm:t>
    </dgm:pt>
    <dgm:pt modelId="{3953F60D-4D68-45B3-B05D-98B28AD890C4}" cxnId="{C3921048-4516-48AC-B361-22CB407EA0C5}" type="sibTrans">
      <dgm:prSet/>
      <dgm:spPr/>
      <dgm:t>
        <a:bodyPr/>
        <a:p>
          <a:endParaRPr lang="es-MX"/>
        </a:p>
      </dgm:t>
    </dgm:pt>
    <dgm:pt modelId="{63A52F15-C4C9-43AC-BFEF-AEEA144170A1}">
      <dgm:prSet/>
      <dgm:spPr/>
      <dgm:t>
        <a:bodyPr/>
        <a:p>
          <a:r>
            <a:rPr lang="es-MX"/>
            <a:t>Auxiliares Operativos</a:t>
          </a:r>
        </a:p>
      </dgm:t>
    </dgm:pt>
    <dgm:pt modelId="{44642C50-635C-4331-8C9F-B5CBC18B0AAE}" cxnId="{E1B986D9-8120-4895-B83C-358060F470BA}" type="parTrans">
      <dgm:prSet/>
      <dgm:spPr/>
      <dgm:t>
        <a:bodyPr/>
        <a:p>
          <a:endParaRPr lang="es-MX"/>
        </a:p>
      </dgm:t>
    </dgm:pt>
    <dgm:pt modelId="{6CC61D74-224B-481B-A3BE-E55F5BFD23AD}" cxnId="{E1B986D9-8120-4895-B83C-358060F470BA}" type="sibTrans">
      <dgm:prSet/>
      <dgm:spPr/>
      <dgm:t>
        <a:bodyPr/>
        <a:p>
          <a:endParaRPr lang="es-MX"/>
        </a:p>
      </dgm:t>
    </dgm:pt>
    <dgm:pt modelId="{ECBF44C0-D9DE-4E74-A172-D75AB51A118D}">
      <dgm:prSet/>
      <dgm:spPr/>
      <dgm:t>
        <a:bodyPr/>
        <a:p>
          <a:r>
            <a:rPr lang="es-MX"/>
            <a:t>Intendentes</a:t>
          </a:r>
        </a:p>
      </dgm:t>
    </dgm:pt>
    <dgm:pt modelId="{51B2C3F4-775B-4F19-A86E-0CF4D5D32ECA}" cxnId="{A0CF37BD-62C4-42B2-AAB8-9FEEAA7D949A}" type="parTrans">
      <dgm:prSet/>
      <dgm:spPr/>
      <dgm:t>
        <a:bodyPr/>
        <a:p>
          <a:endParaRPr lang="es-MX"/>
        </a:p>
      </dgm:t>
    </dgm:pt>
    <dgm:pt modelId="{DF575AE2-82CB-4A7E-A810-F0F219FE301D}" cxnId="{A0CF37BD-62C4-42B2-AAB8-9FEEAA7D949A}" type="sibTrans">
      <dgm:prSet/>
      <dgm:spPr/>
      <dgm:t>
        <a:bodyPr/>
        <a:p>
          <a:endParaRPr lang="es-MX"/>
        </a:p>
      </dgm:t>
    </dgm:pt>
    <dgm:pt modelId="{6434CFA1-7B44-4FA5-9EAC-34A382F22207}">
      <dgm:prSet/>
      <dgm:spPr/>
      <dgm:t>
        <a:bodyPr/>
        <a:p>
          <a:r>
            <a:rPr lang="es-MX"/>
            <a:t>Gestor Cultural</a:t>
          </a:r>
        </a:p>
      </dgm:t>
    </dgm:pt>
    <dgm:pt modelId="{FCEE319F-2DEA-43D3-8661-AC32224C13FD}" cxnId="{C2192E49-EFDA-43EC-9F46-70224E677DDF}" type="parTrans">
      <dgm:prSet/>
      <dgm:spPr/>
      <dgm:t>
        <a:bodyPr/>
        <a:p>
          <a:endParaRPr lang="es-MX"/>
        </a:p>
      </dgm:t>
    </dgm:pt>
    <dgm:pt modelId="{F1CD1895-F8F8-42EE-8C47-EC0F360B5FF7}" cxnId="{C2192E49-EFDA-43EC-9F46-70224E677DDF}" type="sibTrans">
      <dgm:prSet/>
      <dgm:spPr/>
      <dgm:t>
        <a:bodyPr/>
        <a:p>
          <a:endParaRPr lang="es-MX"/>
        </a:p>
      </dgm:t>
    </dgm:pt>
    <dgm:pt modelId="{876EC754-92AD-449F-AA70-8091B4249183}">
      <dgm:prSet/>
      <dgm:spPr/>
      <dgm:t>
        <a:bodyPr/>
        <a:p>
          <a:r>
            <a:rPr lang="es-MX"/>
            <a:t>Contador</a:t>
          </a:r>
        </a:p>
      </dgm:t>
    </dgm:pt>
    <dgm:pt modelId="{DCCA1DFA-62BA-4169-A9DB-BA72D97273AF}" cxnId="{C465B61E-3502-423A-A6A3-2B4DBBC4BD90}" type="parTrans">
      <dgm:prSet/>
      <dgm:spPr/>
      <dgm:t>
        <a:bodyPr/>
        <a:p>
          <a:endParaRPr lang="es-MX"/>
        </a:p>
      </dgm:t>
    </dgm:pt>
    <dgm:pt modelId="{2E43C13B-3383-41E2-A9B5-41E57FE8BA40}" cxnId="{C465B61E-3502-423A-A6A3-2B4DBBC4BD90}" type="sibTrans">
      <dgm:prSet/>
      <dgm:spPr/>
      <dgm:t>
        <a:bodyPr/>
        <a:p>
          <a:endParaRPr lang="es-MX"/>
        </a:p>
      </dgm:t>
    </dgm:pt>
    <dgm:pt modelId="{77B0DBEE-C273-433C-93BF-FBFD75691DFB}">
      <dgm:prSet/>
      <dgm:spPr/>
      <dgm:t>
        <a:bodyPr/>
        <a:p>
          <a:r>
            <a:rPr lang="es-MX"/>
            <a:t>Auxiliar Administrativo</a:t>
          </a:r>
        </a:p>
      </dgm:t>
    </dgm:pt>
    <dgm:pt modelId="{378B18D3-6F64-4748-9C0B-2E2D68B25D5B}" cxnId="{2ABF5771-9CA8-48CE-B3E3-132156BAA652}" type="parTrans">
      <dgm:prSet/>
      <dgm:spPr/>
      <dgm:t>
        <a:bodyPr/>
        <a:p>
          <a:endParaRPr lang="es-MX"/>
        </a:p>
      </dgm:t>
    </dgm:pt>
    <dgm:pt modelId="{59CB5431-52BC-4162-BB2C-1F0B457E8BF7}" cxnId="{2ABF5771-9CA8-48CE-B3E3-132156BAA652}" type="sibTrans">
      <dgm:prSet/>
      <dgm:spPr/>
      <dgm:t>
        <a:bodyPr/>
        <a:p>
          <a:endParaRPr lang="es-MX"/>
        </a:p>
      </dgm:t>
    </dgm:pt>
    <dgm:pt modelId="{2EBD1295-3EC9-4BC5-8A6E-DA0676E2FE1F}">
      <dgm:prSet/>
      <dgm:spPr/>
      <dgm:t>
        <a:bodyPr/>
        <a:p>
          <a:r>
            <a:rPr lang="es-MX"/>
            <a:t>Promotor Cultural</a:t>
          </a:r>
        </a:p>
      </dgm:t>
    </dgm:pt>
    <dgm:pt modelId="{2CED0200-DE1C-4799-8BAA-31E65008B569}" cxnId="{8C12559B-1967-4ECE-AA26-E1DDEB75778B}" type="parTrans">
      <dgm:prSet/>
      <dgm:spPr/>
      <dgm:t>
        <a:bodyPr/>
        <a:p>
          <a:endParaRPr lang="es-MX"/>
        </a:p>
      </dgm:t>
    </dgm:pt>
    <dgm:pt modelId="{B0B7668C-FDEA-441E-8864-2D98A8D2EBC9}" cxnId="{8C12559B-1967-4ECE-AA26-E1DDEB75778B}" type="sibTrans">
      <dgm:prSet/>
      <dgm:spPr/>
      <dgm:t>
        <a:bodyPr/>
        <a:p>
          <a:endParaRPr lang="es-MX"/>
        </a:p>
      </dgm:t>
    </dgm:pt>
    <dgm:pt modelId="{3F55BE2E-4827-430C-B4A5-22BC801F11BE}">
      <dgm:prSet/>
      <dgm:spPr/>
      <dgm:t>
        <a:bodyPr/>
        <a:p>
          <a:r>
            <a:rPr lang="es-MX"/>
            <a:t>Talleristas</a:t>
          </a:r>
        </a:p>
      </dgm:t>
    </dgm:pt>
    <dgm:pt modelId="{A5811ABB-D664-498B-AD6E-5F4F1AE53364}" cxnId="{6000D6DB-B91D-4E24-8664-1E820AC2E904}" type="parTrans">
      <dgm:prSet/>
      <dgm:spPr/>
      <dgm:t>
        <a:bodyPr/>
        <a:p>
          <a:endParaRPr lang="es-MX"/>
        </a:p>
      </dgm:t>
    </dgm:pt>
    <dgm:pt modelId="{4E64DE77-0668-4D18-8E2B-9A3D4C223F04}" cxnId="{6000D6DB-B91D-4E24-8664-1E820AC2E904}" type="sibTrans">
      <dgm:prSet/>
      <dgm:spPr/>
      <dgm:t>
        <a:bodyPr/>
        <a:p>
          <a:endParaRPr lang="es-MX"/>
        </a:p>
      </dgm:t>
    </dgm:pt>
    <dgm:pt modelId="{9C98D89D-C2E9-455B-8F2D-E0B557B60915}">
      <dgm:prSet/>
      <dgm:spPr/>
      <dgm:t>
        <a:bodyPr/>
        <a:p>
          <a:r>
            <a:rPr lang="es-MX"/>
            <a:t>Musicos</a:t>
          </a:r>
        </a:p>
      </dgm:t>
    </dgm:pt>
    <dgm:pt modelId="{34B211E2-F23E-4A3D-BA36-A569084AEED6}" cxnId="{2A04F237-7F01-4E39-8915-484603ED0438}" type="parTrans">
      <dgm:prSet/>
      <dgm:spPr/>
      <dgm:t>
        <a:bodyPr/>
        <a:p>
          <a:endParaRPr lang="es-MX"/>
        </a:p>
      </dgm:t>
    </dgm:pt>
    <dgm:pt modelId="{B1FDFBBF-11F4-4A11-98B5-3A4B5A423542}" cxnId="{2A04F237-7F01-4E39-8915-484603ED0438}" type="sibTrans">
      <dgm:prSet/>
      <dgm:spPr/>
      <dgm:t>
        <a:bodyPr/>
        <a:p>
          <a:endParaRPr lang="es-MX"/>
        </a:p>
      </dgm:t>
    </dgm:pt>
    <dgm:pt modelId="{312C898C-6A20-40F2-B158-17FA7C884785}">
      <dgm:prSet/>
      <dgm:spPr/>
      <dgm:t>
        <a:bodyPr/>
        <a:p>
          <a:r>
            <a:rPr lang="es-MX"/>
            <a:t>Auxiliares</a:t>
          </a:r>
        </a:p>
      </dgm:t>
    </dgm:pt>
    <dgm:pt modelId="{785E4DA8-598C-453A-84BA-0CFAB7A8CE7F}" cxnId="{DF03AF36-BFA9-4E4A-AF60-69F63F54BC50}" type="parTrans">
      <dgm:prSet/>
      <dgm:spPr/>
      <dgm:t>
        <a:bodyPr/>
        <a:p>
          <a:endParaRPr lang="es-MX"/>
        </a:p>
      </dgm:t>
    </dgm:pt>
    <dgm:pt modelId="{FAF919ED-5614-4A08-A10D-C9F8D63ED668}" cxnId="{DF03AF36-BFA9-4E4A-AF60-69F63F54BC50}" type="sibTrans">
      <dgm:prSet/>
      <dgm:spPr/>
      <dgm:t>
        <a:bodyPr/>
        <a:p>
          <a:endParaRPr lang="es-MX"/>
        </a:p>
      </dgm:t>
    </dgm:pt>
    <dgm:pt modelId="{0E952801-03D2-4F9B-A9F3-C13AA41311D0}" type="pres">
      <dgm:prSet presAssocID="{AD406D9B-0543-4488-8847-414A9DEFBC5D}" presName="hierChild1" presStyleCnt="0">
        <dgm:presLayoutVars>
          <dgm:chPref val="1"/>
          <dgm:dir/>
          <dgm:animOne val="branch"/>
          <dgm:animLvl val="lvl"/>
          <dgm:resizeHandles/>
        </dgm:presLayoutVars>
      </dgm:prSet>
      <dgm:spPr/>
    </dgm:pt>
    <dgm:pt modelId="{29EE454B-D770-44CA-B3F5-E37FCAB7766B}" type="pres">
      <dgm:prSet presAssocID="{04340418-35F6-4E2F-84FF-BE670E42C0CD}" presName="hierRoot1" presStyleCnt="0"/>
      <dgm:spPr/>
    </dgm:pt>
    <dgm:pt modelId="{E7059980-7211-4078-8BD3-D48758285D2E}" type="pres">
      <dgm:prSet presAssocID="{04340418-35F6-4E2F-84FF-BE670E42C0CD}" presName="composite" presStyleCnt="0"/>
      <dgm:spPr/>
    </dgm:pt>
    <dgm:pt modelId="{6395B85C-B4FA-4F9A-93B4-7C7F0ACA2306}" type="pres">
      <dgm:prSet presAssocID="{04340418-35F6-4E2F-84FF-BE670E42C0CD}" presName="background" presStyleLbl="node0" presStyleIdx="0" presStyleCnt="1"/>
      <dgm:spPr/>
    </dgm:pt>
    <dgm:pt modelId="{A597F248-CC5D-455F-AE30-266A42A15EAE}" type="pres">
      <dgm:prSet presAssocID="{04340418-35F6-4E2F-84FF-BE670E42C0CD}" presName="text" presStyleLbl="fgAcc0" presStyleIdx="0" presStyleCnt="1">
        <dgm:presLayoutVars>
          <dgm:chPref val="3"/>
        </dgm:presLayoutVars>
      </dgm:prSet>
      <dgm:spPr/>
    </dgm:pt>
    <dgm:pt modelId="{D104EDCE-9BC1-48F7-A289-F8DAE3C4F8F1}" type="pres">
      <dgm:prSet presAssocID="{04340418-35F6-4E2F-84FF-BE670E42C0CD}" presName="hierChild2" presStyleCnt="0"/>
      <dgm:spPr/>
    </dgm:pt>
    <dgm:pt modelId="{0896426B-6F22-459B-931E-37411B43262B}" type="pres">
      <dgm:prSet presAssocID="{07896550-6E36-45E1-9091-28698B2B2511}" presName="Name10" presStyleLbl="parChTrans1D2" presStyleIdx="0" presStyleCnt="2"/>
      <dgm:spPr/>
    </dgm:pt>
    <dgm:pt modelId="{D0F22C78-1EEF-49E0-AD54-5323D98F0EE1}" type="pres">
      <dgm:prSet presAssocID="{3B20F047-4AEE-46A5-8E61-5012A0DF9055}" presName="hierRoot2" presStyleCnt="0"/>
      <dgm:spPr/>
    </dgm:pt>
    <dgm:pt modelId="{67C3696F-D958-4AC1-923A-D864339868EC}" type="pres">
      <dgm:prSet presAssocID="{3B20F047-4AEE-46A5-8E61-5012A0DF9055}" presName="composite2" presStyleCnt="0"/>
      <dgm:spPr/>
    </dgm:pt>
    <dgm:pt modelId="{55F3043C-3CFD-400F-8522-012A8D0016F6}" type="pres">
      <dgm:prSet presAssocID="{3B20F047-4AEE-46A5-8E61-5012A0DF9055}" presName="background2" presStyleLbl="node2" presStyleIdx="0" presStyleCnt="2"/>
      <dgm:spPr/>
    </dgm:pt>
    <dgm:pt modelId="{58481DDF-BAAA-47BD-A922-852C9069A9FA}" type="pres">
      <dgm:prSet presAssocID="{3B20F047-4AEE-46A5-8E61-5012A0DF9055}" presName="text2" presStyleLbl="fgAcc2" presStyleIdx="0" presStyleCnt="2">
        <dgm:presLayoutVars>
          <dgm:chPref val="3"/>
        </dgm:presLayoutVars>
      </dgm:prSet>
      <dgm:spPr/>
    </dgm:pt>
    <dgm:pt modelId="{528673D2-1A7B-420B-9170-66471340F88D}" type="pres">
      <dgm:prSet presAssocID="{3B20F047-4AEE-46A5-8E61-5012A0DF9055}" presName="hierChild3" presStyleCnt="0"/>
      <dgm:spPr/>
    </dgm:pt>
    <dgm:pt modelId="{062C771A-4AFC-483D-AB51-F8D062EF7673}" type="pres">
      <dgm:prSet presAssocID="{788C5E45-7790-4BE8-8E7C-D032D41DB788}" presName="Name17" presStyleLbl="parChTrans1D3" presStyleIdx="0" presStyleCnt="5"/>
      <dgm:spPr/>
    </dgm:pt>
    <dgm:pt modelId="{BEC71AB8-C379-4AD4-9848-FDB25776AD4C}" type="pres">
      <dgm:prSet presAssocID="{A1E9AF7E-A5D9-4F8B-9B46-50CF09799024}" presName="hierRoot3" presStyleCnt="0"/>
      <dgm:spPr/>
    </dgm:pt>
    <dgm:pt modelId="{8F4F43A4-9ECA-429A-917F-5B3B7E1C57AA}" type="pres">
      <dgm:prSet presAssocID="{A1E9AF7E-A5D9-4F8B-9B46-50CF09799024}" presName="composite3" presStyleCnt="0"/>
      <dgm:spPr/>
    </dgm:pt>
    <dgm:pt modelId="{C4E4ACDA-8C7A-4878-9CF1-5CB3224D99E7}" type="pres">
      <dgm:prSet presAssocID="{A1E9AF7E-A5D9-4F8B-9B46-50CF09799024}" presName="background3" presStyleLbl="node3" presStyleIdx="0" presStyleCnt="5"/>
      <dgm:spPr/>
    </dgm:pt>
    <dgm:pt modelId="{BCAB6C1A-4874-479E-BE31-FB9C0338B35D}" type="pres">
      <dgm:prSet presAssocID="{A1E9AF7E-A5D9-4F8B-9B46-50CF09799024}" presName="text3" presStyleLbl="fgAcc3" presStyleIdx="0" presStyleCnt="5">
        <dgm:presLayoutVars>
          <dgm:chPref val="3"/>
        </dgm:presLayoutVars>
      </dgm:prSet>
      <dgm:spPr/>
    </dgm:pt>
    <dgm:pt modelId="{751106AF-D75F-4FE5-B382-9707B9EA3352}" type="pres">
      <dgm:prSet presAssocID="{A1E9AF7E-A5D9-4F8B-9B46-50CF09799024}" presName="hierChild4" presStyleCnt="0"/>
      <dgm:spPr/>
    </dgm:pt>
    <dgm:pt modelId="{DDEB3634-A049-4AA8-B6D3-7552882FB21A}" type="pres">
      <dgm:prSet presAssocID="{FCEE319F-2DEA-43D3-8661-AC32224C13FD}" presName="Name23" presStyleLbl="parChTrans1D4" presStyleIdx="0" presStyleCnt="7"/>
      <dgm:spPr/>
    </dgm:pt>
    <dgm:pt modelId="{4487087D-1489-4ACC-AEA2-EB2E689BCD88}" type="pres">
      <dgm:prSet presAssocID="{6434CFA1-7B44-4FA5-9EAC-34A382F22207}" presName="hierRoot4" presStyleCnt="0"/>
      <dgm:spPr/>
    </dgm:pt>
    <dgm:pt modelId="{494B1DC7-82E4-49BD-9422-8E1D0FC05D9E}" type="pres">
      <dgm:prSet presAssocID="{6434CFA1-7B44-4FA5-9EAC-34A382F22207}" presName="composite4" presStyleCnt="0"/>
      <dgm:spPr/>
    </dgm:pt>
    <dgm:pt modelId="{2BED586E-4BD5-4C42-BFBC-9B94CD4F625F}" type="pres">
      <dgm:prSet presAssocID="{6434CFA1-7B44-4FA5-9EAC-34A382F22207}" presName="background4" presStyleLbl="node4" presStyleIdx="0" presStyleCnt="7"/>
      <dgm:spPr/>
    </dgm:pt>
    <dgm:pt modelId="{B3B9D116-3F36-40D1-BC27-840D65747BD8}" type="pres">
      <dgm:prSet presAssocID="{6434CFA1-7B44-4FA5-9EAC-34A382F22207}" presName="text4" presStyleLbl="fgAcc4" presStyleIdx="0" presStyleCnt="7">
        <dgm:presLayoutVars>
          <dgm:chPref val="3"/>
        </dgm:presLayoutVars>
      </dgm:prSet>
      <dgm:spPr/>
    </dgm:pt>
    <dgm:pt modelId="{1E3D682F-199A-4147-992F-C763B458AFAF}" type="pres">
      <dgm:prSet presAssocID="{6434CFA1-7B44-4FA5-9EAC-34A382F22207}" presName="hierChild5" presStyleCnt="0"/>
      <dgm:spPr/>
    </dgm:pt>
    <dgm:pt modelId="{D5F9FCBC-DD30-43DD-8B7F-ED2BA24E16A1}" type="pres">
      <dgm:prSet presAssocID="{2CED0200-DE1C-4799-8BAA-31E65008B569}" presName="Name23" presStyleLbl="parChTrans1D4" presStyleIdx="1" presStyleCnt="7"/>
      <dgm:spPr/>
    </dgm:pt>
    <dgm:pt modelId="{BD0B5B82-585E-4B1D-8936-5CBCFE9F2A87}" type="pres">
      <dgm:prSet presAssocID="{2EBD1295-3EC9-4BC5-8A6E-DA0676E2FE1F}" presName="hierRoot4" presStyleCnt="0"/>
      <dgm:spPr/>
    </dgm:pt>
    <dgm:pt modelId="{9B4EE9E8-FB24-4A12-B8D3-3832EF704AAA}" type="pres">
      <dgm:prSet presAssocID="{2EBD1295-3EC9-4BC5-8A6E-DA0676E2FE1F}" presName="composite4" presStyleCnt="0"/>
      <dgm:spPr/>
    </dgm:pt>
    <dgm:pt modelId="{2C423E01-46B6-44FE-AF74-6347BA377FE9}" type="pres">
      <dgm:prSet presAssocID="{2EBD1295-3EC9-4BC5-8A6E-DA0676E2FE1F}" presName="background4" presStyleLbl="node4" presStyleIdx="1" presStyleCnt="7"/>
      <dgm:spPr/>
    </dgm:pt>
    <dgm:pt modelId="{F1DF5918-6119-4681-8EDF-D811ECFA270B}" type="pres">
      <dgm:prSet presAssocID="{2EBD1295-3EC9-4BC5-8A6E-DA0676E2FE1F}" presName="text4" presStyleLbl="fgAcc4" presStyleIdx="1" presStyleCnt="7">
        <dgm:presLayoutVars>
          <dgm:chPref val="3"/>
        </dgm:presLayoutVars>
      </dgm:prSet>
      <dgm:spPr/>
    </dgm:pt>
    <dgm:pt modelId="{215DB0BB-9D50-4DB7-8A5B-9EB9111D59E3}" type="pres">
      <dgm:prSet presAssocID="{2EBD1295-3EC9-4BC5-8A6E-DA0676E2FE1F}" presName="hierChild5" presStyleCnt="0"/>
      <dgm:spPr/>
    </dgm:pt>
    <dgm:pt modelId="{DE40AE74-084B-4978-B1CA-E5AFA875259C}" type="pres">
      <dgm:prSet presAssocID="{A5811ABB-D664-498B-AD6E-5F4F1AE53364}" presName="Name23" presStyleLbl="parChTrans1D4" presStyleIdx="2" presStyleCnt="7"/>
      <dgm:spPr/>
    </dgm:pt>
    <dgm:pt modelId="{BC9E5E6B-E0CB-412D-998F-3C1CE3D9A5B2}" type="pres">
      <dgm:prSet presAssocID="{3F55BE2E-4827-430C-B4A5-22BC801F11BE}" presName="hierRoot4" presStyleCnt="0"/>
      <dgm:spPr/>
    </dgm:pt>
    <dgm:pt modelId="{E5425D1C-8F47-499E-B161-8F84FC7F8FFA}" type="pres">
      <dgm:prSet presAssocID="{3F55BE2E-4827-430C-B4A5-22BC801F11BE}" presName="composite4" presStyleCnt="0"/>
      <dgm:spPr/>
    </dgm:pt>
    <dgm:pt modelId="{7E71DE84-3E02-4DB1-9A81-9F081CF81A8B}" type="pres">
      <dgm:prSet presAssocID="{3F55BE2E-4827-430C-B4A5-22BC801F11BE}" presName="background4" presStyleLbl="node4" presStyleIdx="2" presStyleCnt="7"/>
      <dgm:spPr/>
    </dgm:pt>
    <dgm:pt modelId="{ADEDFC0B-E81C-4AC8-BE36-DFC2627CD144}" type="pres">
      <dgm:prSet presAssocID="{3F55BE2E-4827-430C-B4A5-22BC801F11BE}" presName="text4" presStyleLbl="fgAcc4" presStyleIdx="2" presStyleCnt="7">
        <dgm:presLayoutVars>
          <dgm:chPref val="3"/>
        </dgm:presLayoutVars>
      </dgm:prSet>
      <dgm:spPr/>
    </dgm:pt>
    <dgm:pt modelId="{5BE3AA20-3A99-4A2D-8FAF-7B19DCCBFEAB}" type="pres">
      <dgm:prSet presAssocID="{3F55BE2E-4827-430C-B4A5-22BC801F11BE}" presName="hierChild5" presStyleCnt="0"/>
      <dgm:spPr/>
    </dgm:pt>
    <dgm:pt modelId="{FE8FF96D-6396-4500-9455-F411CC11DCD9}" type="pres">
      <dgm:prSet presAssocID="{DCCA1DFA-62BA-4169-A9DB-BA72D97273AF}" presName="Name23" presStyleLbl="parChTrans1D4" presStyleIdx="3" presStyleCnt="7"/>
      <dgm:spPr/>
    </dgm:pt>
    <dgm:pt modelId="{BFD7E51E-D102-4F81-A8FA-B29E1A0504D4}" type="pres">
      <dgm:prSet presAssocID="{876EC754-92AD-449F-AA70-8091B4249183}" presName="hierRoot4" presStyleCnt="0"/>
      <dgm:spPr/>
    </dgm:pt>
    <dgm:pt modelId="{80A64ABB-E73B-4238-8DFB-28C77319354F}" type="pres">
      <dgm:prSet presAssocID="{876EC754-92AD-449F-AA70-8091B4249183}" presName="composite4" presStyleCnt="0"/>
      <dgm:spPr/>
    </dgm:pt>
    <dgm:pt modelId="{0E9B8847-DE2C-4F76-8D70-2B65FC864F32}" type="pres">
      <dgm:prSet presAssocID="{876EC754-92AD-449F-AA70-8091B4249183}" presName="background4" presStyleLbl="node4" presStyleIdx="3" presStyleCnt="7"/>
      <dgm:spPr/>
    </dgm:pt>
    <dgm:pt modelId="{81F54D53-FFE5-41EA-9B2E-2DC9948B8B01}" type="pres">
      <dgm:prSet presAssocID="{876EC754-92AD-449F-AA70-8091B4249183}" presName="text4" presStyleLbl="fgAcc4" presStyleIdx="3" presStyleCnt="7">
        <dgm:presLayoutVars>
          <dgm:chPref val="3"/>
        </dgm:presLayoutVars>
      </dgm:prSet>
      <dgm:spPr/>
    </dgm:pt>
    <dgm:pt modelId="{25F6A28E-0059-4B9E-BA9E-3E5029A6C6D6}" type="pres">
      <dgm:prSet presAssocID="{876EC754-92AD-449F-AA70-8091B4249183}" presName="hierChild5" presStyleCnt="0"/>
      <dgm:spPr/>
    </dgm:pt>
    <dgm:pt modelId="{791BBA4C-C807-41AF-A80F-5913DE4B965A}" type="pres">
      <dgm:prSet presAssocID="{378B18D3-6F64-4748-9C0B-2E2D68B25D5B}" presName="Name23" presStyleLbl="parChTrans1D4" presStyleIdx="4" presStyleCnt="7"/>
      <dgm:spPr/>
    </dgm:pt>
    <dgm:pt modelId="{D4E6B03E-5AB6-4569-882D-B7945C6844BA}" type="pres">
      <dgm:prSet presAssocID="{77B0DBEE-C273-433C-93BF-FBFD75691DFB}" presName="hierRoot4" presStyleCnt="0"/>
      <dgm:spPr/>
    </dgm:pt>
    <dgm:pt modelId="{A6C6FD3A-2064-46B1-84C5-1D0445D278EA}" type="pres">
      <dgm:prSet presAssocID="{77B0DBEE-C273-433C-93BF-FBFD75691DFB}" presName="composite4" presStyleCnt="0"/>
      <dgm:spPr/>
    </dgm:pt>
    <dgm:pt modelId="{6F6BA783-426E-4974-BEF4-7EA8839D9231}" type="pres">
      <dgm:prSet presAssocID="{77B0DBEE-C273-433C-93BF-FBFD75691DFB}" presName="background4" presStyleLbl="node4" presStyleIdx="4" presStyleCnt="7"/>
      <dgm:spPr/>
    </dgm:pt>
    <dgm:pt modelId="{E77AB1E7-96D0-40B3-B54A-1926E3718D65}" type="pres">
      <dgm:prSet presAssocID="{77B0DBEE-C273-433C-93BF-FBFD75691DFB}" presName="text4" presStyleLbl="fgAcc4" presStyleIdx="4" presStyleCnt="7">
        <dgm:presLayoutVars>
          <dgm:chPref val="3"/>
        </dgm:presLayoutVars>
      </dgm:prSet>
      <dgm:spPr/>
    </dgm:pt>
    <dgm:pt modelId="{0F8F7FB1-D7D9-4FBB-9DD5-7713BCC3F0F5}" type="pres">
      <dgm:prSet presAssocID="{77B0DBEE-C273-433C-93BF-FBFD75691DFB}" presName="hierChild5" presStyleCnt="0"/>
      <dgm:spPr/>
    </dgm:pt>
    <dgm:pt modelId="{ADC74077-DAE0-4158-8224-73628A1364E4}" type="pres">
      <dgm:prSet presAssocID="{2ECDE283-A5FD-4828-9600-2D878672BE8A}" presName="Name17" presStyleLbl="parChTrans1D3" presStyleIdx="1" presStyleCnt="5"/>
      <dgm:spPr/>
    </dgm:pt>
    <dgm:pt modelId="{BAC0EDE2-1425-4F24-9A68-6AD6514B2877}" type="pres">
      <dgm:prSet presAssocID="{799A7F47-8D82-4167-83CB-C6709BCFF5EE}" presName="hierRoot3" presStyleCnt="0"/>
      <dgm:spPr/>
    </dgm:pt>
    <dgm:pt modelId="{98DECDEC-6EDE-4ADF-91ED-E2A61DF72D12}" type="pres">
      <dgm:prSet presAssocID="{799A7F47-8D82-4167-83CB-C6709BCFF5EE}" presName="composite3" presStyleCnt="0"/>
      <dgm:spPr/>
    </dgm:pt>
    <dgm:pt modelId="{AECA0082-2222-47BD-8A1F-4877B6BBA2CB}" type="pres">
      <dgm:prSet presAssocID="{799A7F47-8D82-4167-83CB-C6709BCFF5EE}" presName="background3" presStyleLbl="node3" presStyleIdx="1" presStyleCnt="5"/>
      <dgm:spPr/>
    </dgm:pt>
    <dgm:pt modelId="{D3DDCC20-3C1B-4ABE-8248-130189429720}" type="pres">
      <dgm:prSet presAssocID="{799A7F47-8D82-4167-83CB-C6709BCFF5EE}" presName="text3" presStyleLbl="fgAcc3" presStyleIdx="1" presStyleCnt="5" custLinFactNeighborX="-1042" custLinFactNeighborY="-1642">
        <dgm:presLayoutVars>
          <dgm:chPref val="3"/>
        </dgm:presLayoutVars>
      </dgm:prSet>
      <dgm:spPr/>
    </dgm:pt>
    <dgm:pt modelId="{705E09ED-3029-46FE-9F8C-6B08FE8A8293}" type="pres">
      <dgm:prSet presAssocID="{799A7F47-8D82-4167-83CB-C6709BCFF5EE}" presName="hierChild4" presStyleCnt="0"/>
      <dgm:spPr/>
    </dgm:pt>
    <dgm:pt modelId="{F92C7793-923F-4604-AC50-73435C409177}" type="pres">
      <dgm:prSet presAssocID="{5A1447A6-8984-4D00-B261-C9028857BEE7}" presName="Name17" presStyleLbl="parChTrans1D3" presStyleIdx="2" presStyleCnt="5"/>
      <dgm:spPr/>
    </dgm:pt>
    <dgm:pt modelId="{75FD1C53-6DA6-4108-9036-BDA894A28133}" type="pres">
      <dgm:prSet presAssocID="{20A82D38-7D0F-45C3-BEDC-AFCB9E987773}" presName="hierRoot3" presStyleCnt="0"/>
      <dgm:spPr/>
    </dgm:pt>
    <dgm:pt modelId="{C5CD8E00-3697-4D16-B638-D94EC176A453}" type="pres">
      <dgm:prSet presAssocID="{20A82D38-7D0F-45C3-BEDC-AFCB9E987773}" presName="composite3" presStyleCnt="0"/>
      <dgm:spPr/>
    </dgm:pt>
    <dgm:pt modelId="{DD16485F-F965-4CE9-80ED-EFFED3B210E3}" type="pres">
      <dgm:prSet presAssocID="{20A82D38-7D0F-45C3-BEDC-AFCB9E987773}" presName="background3" presStyleLbl="node3" presStyleIdx="2" presStyleCnt="5"/>
      <dgm:spPr/>
    </dgm:pt>
    <dgm:pt modelId="{6E201A6D-DD16-4C5D-9229-132D9FFE90CE}" type="pres">
      <dgm:prSet presAssocID="{20A82D38-7D0F-45C3-BEDC-AFCB9E987773}" presName="text3" presStyleLbl="fgAcc3" presStyleIdx="2" presStyleCnt="5">
        <dgm:presLayoutVars>
          <dgm:chPref val="3"/>
        </dgm:presLayoutVars>
      </dgm:prSet>
      <dgm:spPr/>
    </dgm:pt>
    <dgm:pt modelId="{438DAFF8-B287-4B5C-B2DF-2DAF9E2E5632}" type="pres">
      <dgm:prSet presAssocID="{20A82D38-7D0F-45C3-BEDC-AFCB9E987773}" presName="hierChild4" presStyleCnt="0"/>
      <dgm:spPr/>
    </dgm:pt>
    <dgm:pt modelId="{04ECE153-6B85-432C-8E56-E18C1A0B80A8}" type="pres">
      <dgm:prSet presAssocID="{34B211E2-F23E-4A3D-BA36-A569084AEED6}" presName="Name23" presStyleLbl="parChTrans1D4" presStyleIdx="5" presStyleCnt="7"/>
      <dgm:spPr/>
    </dgm:pt>
    <dgm:pt modelId="{10F3AA43-C936-45D4-80ED-91C70B2E42AF}" type="pres">
      <dgm:prSet presAssocID="{9C98D89D-C2E9-455B-8F2D-E0B557B60915}" presName="hierRoot4" presStyleCnt="0"/>
      <dgm:spPr/>
    </dgm:pt>
    <dgm:pt modelId="{1B864897-8E5E-4E43-8DF5-001D6095A385}" type="pres">
      <dgm:prSet presAssocID="{9C98D89D-C2E9-455B-8F2D-E0B557B60915}" presName="composite4" presStyleCnt="0"/>
      <dgm:spPr/>
    </dgm:pt>
    <dgm:pt modelId="{3F2F5626-8EA9-433C-97BA-8AB9400958F0}" type="pres">
      <dgm:prSet presAssocID="{9C98D89D-C2E9-455B-8F2D-E0B557B60915}" presName="background4" presStyleLbl="node4" presStyleIdx="5" presStyleCnt="7"/>
      <dgm:spPr/>
    </dgm:pt>
    <dgm:pt modelId="{FBFFF406-E97C-40C6-87EF-4A66318BF1AA}" type="pres">
      <dgm:prSet presAssocID="{9C98D89D-C2E9-455B-8F2D-E0B557B60915}" presName="text4" presStyleLbl="fgAcc4" presStyleIdx="5" presStyleCnt="7">
        <dgm:presLayoutVars>
          <dgm:chPref val="3"/>
        </dgm:presLayoutVars>
      </dgm:prSet>
      <dgm:spPr/>
    </dgm:pt>
    <dgm:pt modelId="{FFDCEF5A-29B5-43D3-B8B7-C1EE359828E7}" type="pres">
      <dgm:prSet presAssocID="{9C98D89D-C2E9-455B-8F2D-E0B557B60915}" presName="hierChild5" presStyleCnt="0"/>
      <dgm:spPr/>
    </dgm:pt>
    <dgm:pt modelId="{B71A2803-9BE2-4238-B4AF-54F25A5339A7}" type="pres">
      <dgm:prSet presAssocID="{785E4DA8-598C-453A-84BA-0CFAB7A8CE7F}" presName="Name23" presStyleLbl="parChTrans1D4" presStyleIdx="6" presStyleCnt="7"/>
      <dgm:spPr/>
    </dgm:pt>
    <dgm:pt modelId="{69219015-3D4E-4D95-9ACA-C7E014F683FE}" type="pres">
      <dgm:prSet presAssocID="{312C898C-6A20-40F2-B158-17FA7C884785}" presName="hierRoot4" presStyleCnt="0"/>
      <dgm:spPr/>
    </dgm:pt>
    <dgm:pt modelId="{C4C44502-9D81-4AF0-AC71-84FBDAF001E1}" type="pres">
      <dgm:prSet presAssocID="{312C898C-6A20-40F2-B158-17FA7C884785}" presName="composite4" presStyleCnt="0"/>
      <dgm:spPr/>
    </dgm:pt>
    <dgm:pt modelId="{5E14E041-1A66-4D11-B964-85F86EF1D021}" type="pres">
      <dgm:prSet presAssocID="{312C898C-6A20-40F2-B158-17FA7C884785}" presName="background4" presStyleLbl="node4" presStyleIdx="6" presStyleCnt="7"/>
      <dgm:spPr/>
    </dgm:pt>
    <dgm:pt modelId="{51F0D6C9-2F69-444C-A73D-4191DE864396}" type="pres">
      <dgm:prSet presAssocID="{312C898C-6A20-40F2-B158-17FA7C884785}" presName="text4" presStyleLbl="fgAcc4" presStyleIdx="6" presStyleCnt="7">
        <dgm:presLayoutVars>
          <dgm:chPref val="3"/>
        </dgm:presLayoutVars>
      </dgm:prSet>
      <dgm:spPr/>
    </dgm:pt>
    <dgm:pt modelId="{4F0D81EF-A528-49BD-99D3-FF9965417515}" type="pres">
      <dgm:prSet presAssocID="{312C898C-6A20-40F2-B158-17FA7C884785}" presName="hierChild5" presStyleCnt="0"/>
      <dgm:spPr/>
    </dgm:pt>
    <dgm:pt modelId="{73B9D8BB-972D-4387-B9A1-04D27FC6737E}" type="pres">
      <dgm:prSet presAssocID="{44642C50-635C-4331-8C9F-B5CBC18B0AAE}" presName="Name17" presStyleLbl="parChTrans1D3" presStyleIdx="3" presStyleCnt="5"/>
      <dgm:spPr/>
    </dgm:pt>
    <dgm:pt modelId="{96792955-3D25-4CB4-9566-EE68CA4478EF}" type="pres">
      <dgm:prSet presAssocID="{63A52F15-C4C9-43AC-BFEF-AEEA144170A1}" presName="hierRoot3" presStyleCnt="0"/>
      <dgm:spPr/>
    </dgm:pt>
    <dgm:pt modelId="{FB5678F6-310C-45DB-AF5E-0E76A26C1081}" type="pres">
      <dgm:prSet presAssocID="{63A52F15-C4C9-43AC-BFEF-AEEA144170A1}" presName="composite3" presStyleCnt="0"/>
      <dgm:spPr/>
    </dgm:pt>
    <dgm:pt modelId="{6C649C2B-103A-45B0-BA13-D9A25ACFEBB8}" type="pres">
      <dgm:prSet presAssocID="{63A52F15-C4C9-43AC-BFEF-AEEA144170A1}" presName="background3" presStyleLbl="node3" presStyleIdx="3" presStyleCnt="5"/>
      <dgm:spPr/>
    </dgm:pt>
    <dgm:pt modelId="{37FFF05D-13A6-4B78-ABE3-93DB80958BE1}" type="pres">
      <dgm:prSet presAssocID="{63A52F15-C4C9-43AC-BFEF-AEEA144170A1}" presName="text3" presStyleLbl="fgAcc3" presStyleIdx="3" presStyleCnt="5">
        <dgm:presLayoutVars>
          <dgm:chPref val="3"/>
        </dgm:presLayoutVars>
      </dgm:prSet>
      <dgm:spPr/>
    </dgm:pt>
    <dgm:pt modelId="{C26F0623-14C1-4CD8-8F9D-25C16E7C0985}" type="pres">
      <dgm:prSet presAssocID="{63A52F15-C4C9-43AC-BFEF-AEEA144170A1}" presName="hierChild4" presStyleCnt="0"/>
      <dgm:spPr/>
    </dgm:pt>
    <dgm:pt modelId="{0DC8B0F9-78CF-416E-95AC-807BC7A71F9E}" type="pres">
      <dgm:prSet presAssocID="{51B2C3F4-775B-4F19-A86E-0CF4D5D32ECA}" presName="Name17" presStyleLbl="parChTrans1D3" presStyleIdx="4" presStyleCnt="5"/>
      <dgm:spPr/>
    </dgm:pt>
    <dgm:pt modelId="{828309A3-BB58-45CD-AE48-32DAC7AA1220}" type="pres">
      <dgm:prSet presAssocID="{ECBF44C0-D9DE-4E74-A172-D75AB51A118D}" presName="hierRoot3" presStyleCnt="0"/>
      <dgm:spPr/>
    </dgm:pt>
    <dgm:pt modelId="{EAEFC1C2-B384-4AEB-8F83-D4C92916EF26}" type="pres">
      <dgm:prSet presAssocID="{ECBF44C0-D9DE-4E74-A172-D75AB51A118D}" presName="composite3" presStyleCnt="0"/>
      <dgm:spPr/>
    </dgm:pt>
    <dgm:pt modelId="{439397D0-61FC-493F-912E-7A832B008BD2}" type="pres">
      <dgm:prSet presAssocID="{ECBF44C0-D9DE-4E74-A172-D75AB51A118D}" presName="background3" presStyleLbl="node3" presStyleIdx="4" presStyleCnt="5"/>
      <dgm:spPr/>
    </dgm:pt>
    <dgm:pt modelId="{6728728C-1D7E-49DA-9FD7-935611150CEC}" type="pres">
      <dgm:prSet presAssocID="{ECBF44C0-D9DE-4E74-A172-D75AB51A118D}" presName="text3" presStyleLbl="fgAcc3" presStyleIdx="4" presStyleCnt="5">
        <dgm:presLayoutVars>
          <dgm:chPref val="3"/>
        </dgm:presLayoutVars>
      </dgm:prSet>
      <dgm:spPr/>
    </dgm:pt>
    <dgm:pt modelId="{A3DFF815-A182-42A3-A8A0-4816E81480E7}" type="pres">
      <dgm:prSet presAssocID="{ECBF44C0-D9DE-4E74-A172-D75AB51A118D}" presName="hierChild4" presStyleCnt="0"/>
      <dgm:spPr/>
    </dgm:pt>
    <dgm:pt modelId="{86CCA69A-6C93-49DA-BD9F-2425E2813BC9}" type="pres">
      <dgm:prSet presAssocID="{7AD38450-B1F6-4819-A65B-C67077F0C0AF}" presName="Name10" presStyleLbl="parChTrans1D2" presStyleIdx="1" presStyleCnt="2"/>
      <dgm:spPr/>
    </dgm:pt>
    <dgm:pt modelId="{F909040F-ECDE-4D11-B2AB-9DA25E244D23}" type="pres">
      <dgm:prSet presAssocID="{D5BB8E45-BD17-4B8B-A1D8-D890AF9FBB7E}" presName="hierRoot2" presStyleCnt="0"/>
      <dgm:spPr/>
    </dgm:pt>
    <dgm:pt modelId="{2ACCE4E8-E85B-4354-91FF-147BFAA07CA3}" type="pres">
      <dgm:prSet presAssocID="{D5BB8E45-BD17-4B8B-A1D8-D890AF9FBB7E}" presName="composite2" presStyleCnt="0"/>
      <dgm:spPr/>
    </dgm:pt>
    <dgm:pt modelId="{B10C470E-1754-48D7-B2B2-266A6A1B2955}" type="pres">
      <dgm:prSet presAssocID="{D5BB8E45-BD17-4B8B-A1D8-D890AF9FBB7E}" presName="background2" presStyleLbl="node2" presStyleIdx="1" presStyleCnt="2"/>
      <dgm:spPr/>
    </dgm:pt>
    <dgm:pt modelId="{5F8A627A-50F1-489F-9389-C7A2964CD312}" type="pres">
      <dgm:prSet presAssocID="{D5BB8E45-BD17-4B8B-A1D8-D890AF9FBB7E}" presName="text2" presStyleLbl="fgAcc2" presStyleIdx="1" presStyleCnt="2">
        <dgm:presLayoutVars>
          <dgm:chPref val="3"/>
        </dgm:presLayoutVars>
      </dgm:prSet>
      <dgm:spPr/>
    </dgm:pt>
    <dgm:pt modelId="{38B72695-964D-4C11-8DE0-D30598946277}" type="pres">
      <dgm:prSet presAssocID="{D5BB8E45-BD17-4B8B-A1D8-D890AF9FBB7E}" presName="hierChild3" presStyleCnt="0"/>
      <dgm:spPr/>
    </dgm:pt>
  </dgm:ptLst>
  <dgm:cxnLst>
    <dgm:cxn modelId="{36105405-AADB-4733-A789-6C4E8508AAA1}" type="presOf" srcId="{7AD38450-B1F6-4819-A65B-C67077F0C0AF}" destId="{86CCA69A-6C93-49DA-BD9F-2425E2813BC9}" srcOrd="0" destOrd="0" presId="urn:microsoft.com/office/officeart/2005/8/layout/hierarchy1"/>
    <dgm:cxn modelId="{3629DD0F-07D8-44AD-9053-E1A4AB160DCF}" srcId="{04340418-35F6-4E2F-84FF-BE670E42C0CD}" destId="{D5BB8E45-BD17-4B8B-A1D8-D890AF9FBB7E}" srcOrd="1" destOrd="0" parTransId="{7AD38450-B1F6-4819-A65B-C67077F0C0AF}" sibTransId="{85C290BD-094F-4976-A213-769F31D4F23D}"/>
    <dgm:cxn modelId="{C465B61E-3502-423A-A6A3-2B4DBBC4BD90}" srcId="{A1E9AF7E-A5D9-4F8B-9B46-50CF09799024}" destId="{876EC754-92AD-449F-AA70-8091B4249183}" srcOrd="1" destOrd="0" parTransId="{DCCA1DFA-62BA-4169-A9DB-BA72D97273AF}" sibTransId="{2E43C13B-3383-41E2-A9B5-41E57FE8BA40}"/>
    <dgm:cxn modelId="{DF03AF36-BFA9-4E4A-AF60-69F63F54BC50}" srcId="{20A82D38-7D0F-45C3-BEDC-AFCB9E987773}" destId="{312C898C-6A20-40F2-B158-17FA7C884785}" srcOrd="1" destOrd="0" parTransId="{785E4DA8-598C-453A-84BA-0CFAB7A8CE7F}" sibTransId="{FAF919ED-5614-4A08-A10D-C9F8D63ED668}"/>
    <dgm:cxn modelId="{2A04F237-7F01-4E39-8915-484603ED0438}" srcId="{20A82D38-7D0F-45C3-BEDC-AFCB9E987773}" destId="{9C98D89D-C2E9-455B-8F2D-E0B557B60915}" srcOrd="0" destOrd="0" parTransId="{34B211E2-F23E-4A3D-BA36-A569084AEED6}" sibTransId="{B1FDFBBF-11F4-4A11-98B5-3A4B5A423542}"/>
    <dgm:cxn modelId="{30F4A13A-AC57-4B9F-B824-83F0FC9136DA}" type="presOf" srcId="{FCEE319F-2DEA-43D3-8661-AC32224C13FD}" destId="{DDEB3634-A049-4AA8-B6D3-7552882FB21A}" srcOrd="0" destOrd="0" presId="urn:microsoft.com/office/officeart/2005/8/layout/hierarchy1"/>
    <dgm:cxn modelId="{BD81E85B-9381-4423-9EC7-D55C950784D9}" type="presOf" srcId="{312C898C-6A20-40F2-B158-17FA7C884785}" destId="{51F0D6C9-2F69-444C-A73D-4191DE864396}" srcOrd="0" destOrd="0" presId="urn:microsoft.com/office/officeart/2005/8/layout/hierarchy1"/>
    <dgm:cxn modelId="{7F92EF5C-25FC-4208-9E02-A98C4BB0BE35}" type="presOf" srcId="{2ECDE283-A5FD-4828-9600-2D878672BE8A}" destId="{ADC74077-DAE0-4158-8224-73628A1364E4}" srcOrd="0" destOrd="0" presId="urn:microsoft.com/office/officeart/2005/8/layout/hierarchy1"/>
    <dgm:cxn modelId="{9BB0D964-3A5A-459E-8DAE-7BEC1429589E}" srcId="{3B20F047-4AEE-46A5-8E61-5012A0DF9055}" destId="{A1E9AF7E-A5D9-4F8B-9B46-50CF09799024}" srcOrd="0" destOrd="0" parTransId="{788C5E45-7790-4BE8-8E7C-D032D41DB788}" sibTransId="{8599AB54-096B-4B22-80A8-BB5B5BDC2B45}"/>
    <dgm:cxn modelId="{23969966-5150-4EFA-8CEA-4999A39383F3}" type="presOf" srcId="{63A52F15-C4C9-43AC-BFEF-AEEA144170A1}" destId="{37FFF05D-13A6-4B78-ABE3-93DB80958BE1}" srcOrd="0" destOrd="0" presId="urn:microsoft.com/office/officeart/2005/8/layout/hierarchy1"/>
    <dgm:cxn modelId="{C3921048-4516-48AC-B361-22CB407EA0C5}" srcId="{3B20F047-4AEE-46A5-8E61-5012A0DF9055}" destId="{20A82D38-7D0F-45C3-BEDC-AFCB9E987773}" srcOrd="2" destOrd="0" parTransId="{5A1447A6-8984-4D00-B261-C9028857BEE7}" sibTransId="{3953F60D-4D68-45B3-B05D-98B28AD890C4}"/>
    <dgm:cxn modelId="{C2192E49-EFDA-43EC-9F46-70224E677DDF}" srcId="{A1E9AF7E-A5D9-4F8B-9B46-50CF09799024}" destId="{6434CFA1-7B44-4FA5-9EAC-34A382F22207}" srcOrd="0" destOrd="0" parTransId="{FCEE319F-2DEA-43D3-8661-AC32224C13FD}" sibTransId="{F1CD1895-F8F8-42EE-8C47-EC0F360B5FF7}"/>
    <dgm:cxn modelId="{74DFC96B-3833-4759-9D35-1E3D1082E049}" type="presOf" srcId="{20A82D38-7D0F-45C3-BEDC-AFCB9E987773}" destId="{6E201A6D-DD16-4C5D-9229-132D9FFE90CE}" srcOrd="0" destOrd="0" presId="urn:microsoft.com/office/officeart/2005/8/layout/hierarchy1"/>
    <dgm:cxn modelId="{5714834C-9068-4975-A6CB-E39E0B81AE3A}" type="presOf" srcId="{3F55BE2E-4827-430C-B4A5-22BC801F11BE}" destId="{ADEDFC0B-E81C-4AC8-BE36-DFC2627CD144}" srcOrd="0" destOrd="0" presId="urn:microsoft.com/office/officeart/2005/8/layout/hierarchy1"/>
    <dgm:cxn modelId="{6FAAA34D-1292-490D-91E9-79A2F85021B6}" type="presOf" srcId="{2CED0200-DE1C-4799-8BAA-31E65008B569}" destId="{D5F9FCBC-DD30-43DD-8B7F-ED2BA24E16A1}" srcOrd="0" destOrd="0" presId="urn:microsoft.com/office/officeart/2005/8/layout/hierarchy1"/>
    <dgm:cxn modelId="{DB2BF150-1CF3-46ED-811D-0B2CF431C7E3}" type="presOf" srcId="{44642C50-635C-4331-8C9F-B5CBC18B0AAE}" destId="{73B9D8BB-972D-4387-B9A1-04D27FC6737E}" srcOrd="0" destOrd="0" presId="urn:microsoft.com/office/officeart/2005/8/layout/hierarchy1"/>
    <dgm:cxn modelId="{2ABF5771-9CA8-48CE-B3E3-132156BAA652}" srcId="{876EC754-92AD-449F-AA70-8091B4249183}" destId="{77B0DBEE-C273-433C-93BF-FBFD75691DFB}" srcOrd="0" destOrd="0" parTransId="{378B18D3-6F64-4748-9C0B-2E2D68B25D5B}" sibTransId="{59CB5431-52BC-4162-BB2C-1F0B457E8BF7}"/>
    <dgm:cxn modelId="{3AA0FC51-90E1-4849-9E69-FB9985E35F8F}" type="presOf" srcId="{07896550-6E36-45E1-9091-28698B2B2511}" destId="{0896426B-6F22-459B-931E-37411B43262B}" srcOrd="0" destOrd="0" presId="urn:microsoft.com/office/officeart/2005/8/layout/hierarchy1"/>
    <dgm:cxn modelId="{2005BE74-822F-498F-8A46-F9CDBF428266}" srcId="{3B20F047-4AEE-46A5-8E61-5012A0DF9055}" destId="{799A7F47-8D82-4167-83CB-C6709BCFF5EE}" srcOrd="1" destOrd="0" parTransId="{2ECDE283-A5FD-4828-9600-2D878672BE8A}" sibTransId="{79044862-76BA-484F-919C-0C66C582084B}"/>
    <dgm:cxn modelId="{30BCB859-47E1-424F-8D84-D78F00369D6C}" type="presOf" srcId="{378B18D3-6F64-4748-9C0B-2E2D68B25D5B}" destId="{791BBA4C-C807-41AF-A80F-5913DE4B965A}" srcOrd="0" destOrd="0" presId="urn:microsoft.com/office/officeart/2005/8/layout/hierarchy1"/>
    <dgm:cxn modelId="{C882425A-6697-4EEA-B2B3-569F7EEBCA15}" type="presOf" srcId="{77B0DBEE-C273-433C-93BF-FBFD75691DFB}" destId="{E77AB1E7-96D0-40B3-B54A-1926E3718D65}" srcOrd="0" destOrd="0" presId="urn:microsoft.com/office/officeart/2005/8/layout/hierarchy1"/>
    <dgm:cxn modelId="{BE95F583-771E-4BFB-8A04-CBE7E9C48472}" type="presOf" srcId="{2EBD1295-3EC9-4BC5-8A6E-DA0676E2FE1F}" destId="{F1DF5918-6119-4681-8EDF-D811ECFA270B}" srcOrd="0" destOrd="0" presId="urn:microsoft.com/office/officeart/2005/8/layout/hierarchy1"/>
    <dgm:cxn modelId="{C11F1A85-F476-4746-A97A-DE629B3E724D}" type="presOf" srcId="{51B2C3F4-775B-4F19-A86E-0CF4D5D32ECA}" destId="{0DC8B0F9-78CF-416E-95AC-807BC7A71F9E}" srcOrd="0" destOrd="0" presId="urn:microsoft.com/office/officeart/2005/8/layout/hierarchy1"/>
    <dgm:cxn modelId="{6757D48A-FE5D-4F0C-82BF-50EA66C1F003}" type="presOf" srcId="{876EC754-92AD-449F-AA70-8091B4249183}" destId="{81F54D53-FFE5-41EA-9B2E-2DC9948B8B01}" srcOrd="0" destOrd="0" presId="urn:microsoft.com/office/officeart/2005/8/layout/hierarchy1"/>
    <dgm:cxn modelId="{426B6D8E-FEF8-4BDC-A1F4-D179A4C7F70C}" type="presOf" srcId="{5A1447A6-8984-4D00-B261-C9028857BEE7}" destId="{F92C7793-923F-4604-AC50-73435C409177}" srcOrd="0" destOrd="0" presId="urn:microsoft.com/office/officeart/2005/8/layout/hierarchy1"/>
    <dgm:cxn modelId="{64D17095-6B52-4BFF-B3E0-82CA9D0C0835}" type="presOf" srcId="{3B20F047-4AEE-46A5-8E61-5012A0DF9055}" destId="{58481DDF-BAAA-47BD-A922-852C9069A9FA}" srcOrd="0" destOrd="0" presId="urn:microsoft.com/office/officeart/2005/8/layout/hierarchy1"/>
    <dgm:cxn modelId="{8C12559B-1967-4ECE-AA26-E1DDEB75778B}" srcId="{6434CFA1-7B44-4FA5-9EAC-34A382F22207}" destId="{2EBD1295-3EC9-4BC5-8A6E-DA0676E2FE1F}" srcOrd="0" destOrd="0" parTransId="{2CED0200-DE1C-4799-8BAA-31E65008B569}" sibTransId="{B0B7668C-FDEA-441E-8864-2D98A8D2EBC9}"/>
    <dgm:cxn modelId="{AF9165A3-E817-4EEA-A749-8683502ABBD1}" type="presOf" srcId="{6434CFA1-7B44-4FA5-9EAC-34A382F22207}" destId="{B3B9D116-3F36-40D1-BC27-840D65747BD8}" srcOrd="0" destOrd="0" presId="urn:microsoft.com/office/officeart/2005/8/layout/hierarchy1"/>
    <dgm:cxn modelId="{882B8EB2-D1CB-49FF-A4E1-8D1FECB8F5BC}" type="presOf" srcId="{DCCA1DFA-62BA-4169-A9DB-BA72D97273AF}" destId="{FE8FF96D-6396-4500-9455-F411CC11DCD9}" srcOrd="0" destOrd="0" presId="urn:microsoft.com/office/officeart/2005/8/layout/hierarchy1"/>
    <dgm:cxn modelId="{B78B50B4-E9F7-46C6-BD0F-B36C8D240250}" type="presOf" srcId="{A1E9AF7E-A5D9-4F8B-9B46-50CF09799024}" destId="{BCAB6C1A-4874-479E-BE31-FB9C0338B35D}" srcOrd="0" destOrd="0" presId="urn:microsoft.com/office/officeart/2005/8/layout/hierarchy1"/>
    <dgm:cxn modelId="{CE9133B7-748D-43A8-BC27-053BBC081F47}" srcId="{AD406D9B-0543-4488-8847-414A9DEFBC5D}" destId="{04340418-35F6-4E2F-84FF-BE670E42C0CD}" srcOrd="0" destOrd="0" parTransId="{1F335BE4-7287-45A7-855F-4F74964390B0}" sibTransId="{1D40C852-09C6-4D65-87C9-F18FCCBD11A2}"/>
    <dgm:cxn modelId="{27B1F6B9-1EE9-46D9-8483-30EF89CB6490}" type="presOf" srcId="{788C5E45-7790-4BE8-8E7C-D032D41DB788}" destId="{062C771A-4AFC-483D-AB51-F8D062EF7673}" srcOrd="0" destOrd="0" presId="urn:microsoft.com/office/officeart/2005/8/layout/hierarchy1"/>
    <dgm:cxn modelId="{A0CF37BD-62C4-42B2-AAB8-9FEEAA7D949A}" srcId="{3B20F047-4AEE-46A5-8E61-5012A0DF9055}" destId="{ECBF44C0-D9DE-4E74-A172-D75AB51A118D}" srcOrd="4" destOrd="0" parTransId="{51B2C3F4-775B-4F19-A86E-0CF4D5D32ECA}" sibTransId="{DF575AE2-82CB-4A7E-A810-F0F219FE301D}"/>
    <dgm:cxn modelId="{79D949BE-11BF-46C3-A84A-CD1235C075F0}" type="presOf" srcId="{04340418-35F6-4E2F-84FF-BE670E42C0CD}" destId="{A597F248-CC5D-455F-AE30-266A42A15EAE}" srcOrd="0" destOrd="0" presId="urn:microsoft.com/office/officeart/2005/8/layout/hierarchy1"/>
    <dgm:cxn modelId="{9B4BEDC7-C112-4A4E-A10F-80645D171C7D}" type="presOf" srcId="{D5BB8E45-BD17-4B8B-A1D8-D890AF9FBB7E}" destId="{5F8A627A-50F1-489F-9389-C7A2964CD312}" srcOrd="0" destOrd="0" presId="urn:microsoft.com/office/officeart/2005/8/layout/hierarchy1"/>
    <dgm:cxn modelId="{B1EC5AD1-9F30-499C-B139-C7CDFE27835B}" type="presOf" srcId="{AD406D9B-0543-4488-8847-414A9DEFBC5D}" destId="{0E952801-03D2-4F9B-A9F3-C13AA41311D0}" srcOrd="0" destOrd="0" presId="urn:microsoft.com/office/officeart/2005/8/layout/hierarchy1"/>
    <dgm:cxn modelId="{E1B986D9-8120-4895-B83C-358060F470BA}" srcId="{3B20F047-4AEE-46A5-8E61-5012A0DF9055}" destId="{63A52F15-C4C9-43AC-BFEF-AEEA144170A1}" srcOrd="3" destOrd="0" parTransId="{44642C50-635C-4331-8C9F-B5CBC18B0AAE}" sibTransId="{6CC61D74-224B-481B-A3BE-E55F5BFD23AD}"/>
    <dgm:cxn modelId="{6000D6DB-B91D-4E24-8664-1E820AC2E904}" srcId="{2EBD1295-3EC9-4BC5-8A6E-DA0676E2FE1F}" destId="{3F55BE2E-4827-430C-B4A5-22BC801F11BE}" srcOrd="0" destOrd="0" parTransId="{A5811ABB-D664-498B-AD6E-5F4F1AE53364}" sibTransId="{4E64DE77-0668-4D18-8E2B-9A3D4C223F04}"/>
    <dgm:cxn modelId="{831ADEDB-8A06-4112-8413-D9804B948965}" type="presOf" srcId="{9C98D89D-C2E9-455B-8F2D-E0B557B60915}" destId="{FBFFF406-E97C-40C6-87EF-4A66318BF1AA}" srcOrd="0" destOrd="0" presId="urn:microsoft.com/office/officeart/2005/8/layout/hierarchy1"/>
    <dgm:cxn modelId="{1BC245E4-86FE-409D-8264-F017AA5AC406}" type="presOf" srcId="{799A7F47-8D82-4167-83CB-C6709BCFF5EE}" destId="{D3DDCC20-3C1B-4ABE-8248-130189429720}" srcOrd="0" destOrd="0" presId="urn:microsoft.com/office/officeart/2005/8/layout/hierarchy1"/>
    <dgm:cxn modelId="{3C10DEE4-B33A-4A67-9FE4-4AD003F70D52}" srcId="{04340418-35F6-4E2F-84FF-BE670E42C0CD}" destId="{3B20F047-4AEE-46A5-8E61-5012A0DF9055}" srcOrd="0" destOrd="0" parTransId="{07896550-6E36-45E1-9091-28698B2B2511}" sibTransId="{204EFA89-0CD3-442B-AFCA-8693D11F8AA0}"/>
    <dgm:cxn modelId="{22A93FF1-EB05-4493-8E23-C73C7032A80A}" type="presOf" srcId="{785E4DA8-598C-453A-84BA-0CFAB7A8CE7F}" destId="{B71A2803-9BE2-4238-B4AF-54F25A5339A7}" srcOrd="0" destOrd="0" presId="urn:microsoft.com/office/officeart/2005/8/layout/hierarchy1"/>
    <dgm:cxn modelId="{A95EB2FC-CE96-4F1A-BA8A-8EB222AC33D9}" type="presOf" srcId="{ECBF44C0-D9DE-4E74-A172-D75AB51A118D}" destId="{6728728C-1D7E-49DA-9FD7-935611150CEC}" srcOrd="0" destOrd="0" presId="urn:microsoft.com/office/officeart/2005/8/layout/hierarchy1"/>
    <dgm:cxn modelId="{C79E02FD-D580-4E97-B454-B78B4A8F700A}" type="presOf" srcId="{A5811ABB-D664-498B-AD6E-5F4F1AE53364}" destId="{DE40AE74-084B-4978-B1CA-E5AFA875259C}" srcOrd="0" destOrd="0" presId="urn:microsoft.com/office/officeart/2005/8/layout/hierarchy1"/>
    <dgm:cxn modelId="{813CE3FD-1D9E-46C0-8A9A-38E14523211F}" type="presOf" srcId="{34B211E2-F23E-4A3D-BA36-A569084AEED6}" destId="{04ECE153-6B85-432C-8E56-E18C1A0B80A8}" srcOrd="0" destOrd="0" presId="urn:microsoft.com/office/officeart/2005/8/layout/hierarchy1"/>
    <dgm:cxn modelId="{0CDD5F30-EAC7-405B-9B25-490FB25C1865}" type="presParOf" srcId="{0E952801-03D2-4F9B-A9F3-C13AA41311D0}" destId="{29EE454B-D770-44CA-B3F5-E37FCAB7766B}" srcOrd="0" destOrd="0" presId="urn:microsoft.com/office/officeart/2005/8/layout/hierarchy1"/>
    <dgm:cxn modelId="{A93A0558-6077-4E45-BE89-71160F737C55}" type="presParOf" srcId="{29EE454B-D770-44CA-B3F5-E37FCAB7766B}" destId="{E7059980-7211-4078-8BD3-D48758285D2E}" srcOrd="0" destOrd="0" presId="urn:microsoft.com/office/officeart/2005/8/layout/hierarchy1"/>
    <dgm:cxn modelId="{DC97F708-671C-41F4-8352-2E46EB82C8E0}" type="presParOf" srcId="{E7059980-7211-4078-8BD3-D48758285D2E}" destId="{6395B85C-B4FA-4F9A-93B4-7C7F0ACA2306}" srcOrd="0" destOrd="0" presId="urn:microsoft.com/office/officeart/2005/8/layout/hierarchy1"/>
    <dgm:cxn modelId="{2D18269F-B0C2-490B-8C05-9B532A675B89}" type="presParOf" srcId="{E7059980-7211-4078-8BD3-D48758285D2E}" destId="{A597F248-CC5D-455F-AE30-266A42A15EAE}" srcOrd="1" destOrd="0" presId="urn:microsoft.com/office/officeart/2005/8/layout/hierarchy1"/>
    <dgm:cxn modelId="{9D50804F-C6F7-45C4-8C88-F59B24B51DDE}" type="presParOf" srcId="{29EE454B-D770-44CA-B3F5-E37FCAB7766B}" destId="{D104EDCE-9BC1-48F7-A289-F8DAE3C4F8F1}" srcOrd="1" destOrd="0" presId="urn:microsoft.com/office/officeart/2005/8/layout/hierarchy1"/>
    <dgm:cxn modelId="{18C4FE11-EE06-4670-B603-90E1B89E7547}" type="presParOf" srcId="{D104EDCE-9BC1-48F7-A289-F8DAE3C4F8F1}" destId="{0896426B-6F22-459B-931E-37411B43262B}" srcOrd="0" destOrd="0" presId="urn:microsoft.com/office/officeart/2005/8/layout/hierarchy1"/>
    <dgm:cxn modelId="{B84FC8E7-8A41-41F1-8E86-93FB4A8EE0F3}" type="presParOf" srcId="{D104EDCE-9BC1-48F7-A289-F8DAE3C4F8F1}" destId="{D0F22C78-1EEF-49E0-AD54-5323D98F0EE1}" srcOrd="1" destOrd="0" presId="urn:microsoft.com/office/officeart/2005/8/layout/hierarchy1"/>
    <dgm:cxn modelId="{2DC3C2F6-8DC3-4947-BEE7-A182BEEB9F60}" type="presParOf" srcId="{D0F22C78-1EEF-49E0-AD54-5323D98F0EE1}" destId="{67C3696F-D958-4AC1-923A-D864339868EC}" srcOrd="0" destOrd="0" presId="urn:microsoft.com/office/officeart/2005/8/layout/hierarchy1"/>
    <dgm:cxn modelId="{0F544CC6-84D7-4A68-A9E4-68BAEB530BFA}" type="presParOf" srcId="{67C3696F-D958-4AC1-923A-D864339868EC}" destId="{55F3043C-3CFD-400F-8522-012A8D0016F6}" srcOrd="0" destOrd="0" presId="urn:microsoft.com/office/officeart/2005/8/layout/hierarchy1"/>
    <dgm:cxn modelId="{7E1CB380-554F-4D8D-9293-01D22F2E72F6}" type="presParOf" srcId="{67C3696F-D958-4AC1-923A-D864339868EC}" destId="{58481DDF-BAAA-47BD-A922-852C9069A9FA}" srcOrd="1" destOrd="0" presId="urn:microsoft.com/office/officeart/2005/8/layout/hierarchy1"/>
    <dgm:cxn modelId="{0E6C76D1-CD39-4615-8E62-B67383B8FBB8}" type="presParOf" srcId="{D0F22C78-1EEF-49E0-AD54-5323D98F0EE1}" destId="{528673D2-1A7B-420B-9170-66471340F88D}" srcOrd="1" destOrd="0" presId="urn:microsoft.com/office/officeart/2005/8/layout/hierarchy1"/>
    <dgm:cxn modelId="{746887DB-F879-4E01-AF96-167B8C434489}" type="presParOf" srcId="{528673D2-1A7B-420B-9170-66471340F88D}" destId="{062C771A-4AFC-483D-AB51-F8D062EF7673}" srcOrd="0" destOrd="0" presId="urn:microsoft.com/office/officeart/2005/8/layout/hierarchy1"/>
    <dgm:cxn modelId="{ED1A019D-CCC7-435C-A3B5-11C8384412BB}" type="presParOf" srcId="{528673D2-1A7B-420B-9170-66471340F88D}" destId="{BEC71AB8-C379-4AD4-9848-FDB25776AD4C}" srcOrd="1" destOrd="0" presId="urn:microsoft.com/office/officeart/2005/8/layout/hierarchy1"/>
    <dgm:cxn modelId="{09FBD64F-CEE0-4A8A-9DFA-2C568C840744}" type="presParOf" srcId="{BEC71AB8-C379-4AD4-9848-FDB25776AD4C}" destId="{8F4F43A4-9ECA-429A-917F-5B3B7E1C57AA}" srcOrd="0" destOrd="0" presId="urn:microsoft.com/office/officeart/2005/8/layout/hierarchy1"/>
    <dgm:cxn modelId="{5FA869FF-1C41-42BF-80C9-F5560ADE7BE0}" type="presParOf" srcId="{8F4F43A4-9ECA-429A-917F-5B3B7E1C57AA}" destId="{C4E4ACDA-8C7A-4878-9CF1-5CB3224D99E7}" srcOrd="0" destOrd="0" presId="urn:microsoft.com/office/officeart/2005/8/layout/hierarchy1"/>
    <dgm:cxn modelId="{0C7E5713-ED78-4F5D-B424-9643AB1F6DE1}" type="presParOf" srcId="{8F4F43A4-9ECA-429A-917F-5B3B7E1C57AA}" destId="{BCAB6C1A-4874-479E-BE31-FB9C0338B35D}" srcOrd="1" destOrd="0" presId="urn:microsoft.com/office/officeart/2005/8/layout/hierarchy1"/>
    <dgm:cxn modelId="{BA1246D8-12E3-4BFB-8DE8-5CF6525AAE3B}" type="presParOf" srcId="{BEC71AB8-C379-4AD4-9848-FDB25776AD4C}" destId="{751106AF-D75F-4FE5-B382-9707B9EA3352}" srcOrd="1" destOrd="0" presId="urn:microsoft.com/office/officeart/2005/8/layout/hierarchy1"/>
    <dgm:cxn modelId="{CAA3CDE2-375A-45F8-8186-75ED7AFA4648}" type="presParOf" srcId="{751106AF-D75F-4FE5-B382-9707B9EA3352}" destId="{DDEB3634-A049-4AA8-B6D3-7552882FB21A}" srcOrd="0" destOrd="0" presId="urn:microsoft.com/office/officeart/2005/8/layout/hierarchy1"/>
    <dgm:cxn modelId="{EE718C52-EDC8-423F-96F5-D366639DD943}" type="presParOf" srcId="{751106AF-D75F-4FE5-B382-9707B9EA3352}" destId="{4487087D-1489-4ACC-AEA2-EB2E689BCD88}" srcOrd="1" destOrd="0" presId="urn:microsoft.com/office/officeart/2005/8/layout/hierarchy1"/>
    <dgm:cxn modelId="{08B06388-16B6-41F3-8147-06628EF8000D}" type="presParOf" srcId="{4487087D-1489-4ACC-AEA2-EB2E689BCD88}" destId="{494B1DC7-82E4-49BD-9422-8E1D0FC05D9E}" srcOrd="0" destOrd="0" presId="urn:microsoft.com/office/officeart/2005/8/layout/hierarchy1"/>
    <dgm:cxn modelId="{E6AEF01C-2858-4EB0-A880-A7A144E79DFF}" type="presParOf" srcId="{494B1DC7-82E4-49BD-9422-8E1D0FC05D9E}" destId="{2BED586E-4BD5-4C42-BFBC-9B94CD4F625F}" srcOrd="0" destOrd="0" presId="urn:microsoft.com/office/officeart/2005/8/layout/hierarchy1"/>
    <dgm:cxn modelId="{C142360A-F171-418D-A61D-801A623B609E}" type="presParOf" srcId="{494B1DC7-82E4-49BD-9422-8E1D0FC05D9E}" destId="{B3B9D116-3F36-40D1-BC27-840D65747BD8}" srcOrd="1" destOrd="0" presId="urn:microsoft.com/office/officeart/2005/8/layout/hierarchy1"/>
    <dgm:cxn modelId="{8DC38114-94CC-4B8A-A4D5-DD51F506E76C}" type="presParOf" srcId="{4487087D-1489-4ACC-AEA2-EB2E689BCD88}" destId="{1E3D682F-199A-4147-992F-C763B458AFAF}" srcOrd="1" destOrd="0" presId="urn:microsoft.com/office/officeart/2005/8/layout/hierarchy1"/>
    <dgm:cxn modelId="{B05DAAA3-8DAC-4C93-A857-C3C7E9E02A43}" type="presParOf" srcId="{1E3D682F-199A-4147-992F-C763B458AFAF}" destId="{D5F9FCBC-DD30-43DD-8B7F-ED2BA24E16A1}" srcOrd="0" destOrd="0" presId="urn:microsoft.com/office/officeart/2005/8/layout/hierarchy1"/>
    <dgm:cxn modelId="{3E3BC1EB-5A22-4C67-B9DB-C90099647BA0}" type="presParOf" srcId="{1E3D682F-199A-4147-992F-C763B458AFAF}" destId="{BD0B5B82-585E-4B1D-8936-5CBCFE9F2A87}" srcOrd="1" destOrd="0" presId="urn:microsoft.com/office/officeart/2005/8/layout/hierarchy1"/>
    <dgm:cxn modelId="{AEE5A9C1-3D24-4948-BECD-A1B4F1B8018F}" type="presParOf" srcId="{BD0B5B82-585E-4B1D-8936-5CBCFE9F2A87}" destId="{9B4EE9E8-FB24-4A12-B8D3-3832EF704AAA}" srcOrd="0" destOrd="0" presId="urn:microsoft.com/office/officeart/2005/8/layout/hierarchy1"/>
    <dgm:cxn modelId="{4AF33C39-2E2D-4207-9441-CA917A272308}" type="presParOf" srcId="{9B4EE9E8-FB24-4A12-B8D3-3832EF704AAA}" destId="{2C423E01-46B6-44FE-AF74-6347BA377FE9}" srcOrd="0" destOrd="0" presId="urn:microsoft.com/office/officeart/2005/8/layout/hierarchy1"/>
    <dgm:cxn modelId="{4249AF9E-9ACB-40E5-95F8-FF7A16BF8323}" type="presParOf" srcId="{9B4EE9E8-FB24-4A12-B8D3-3832EF704AAA}" destId="{F1DF5918-6119-4681-8EDF-D811ECFA270B}" srcOrd="1" destOrd="0" presId="urn:microsoft.com/office/officeart/2005/8/layout/hierarchy1"/>
    <dgm:cxn modelId="{919BD4BF-E143-4D64-BEA0-4356126CA753}" type="presParOf" srcId="{BD0B5B82-585E-4B1D-8936-5CBCFE9F2A87}" destId="{215DB0BB-9D50-4DB7-8A5B-9EB9111D59E3}" srcOrd="1" destOrd="0" presId="urn:microsoft.com/office/officeart/2005/8/layout/hierarchy1"/>
    <dgm:cxn modelId="{65F0274F-7761-433F-A02D-85D7E6115C4E}" type="presParOf" srcId="{215DB0BB-9D50-4DB7-8A5B-9EB9111D59E3}" destId="{DE40AE74-084B-4978-B1CA-E5AFA875259C}" srcOrd="0" destOrd="0" presId="urn:microsoft.com/office/officeart/2005/8/layout/hierarchy1"/>
    <dgm:cxn modelId="{C659F283-0723-4790-B6BB-E6251FA5D05F}" type="presParOf" srcId="{215DB0BB-9D50-4DB7-8A5B-9EB9111D59E3}" destId="{BC9E5E6B-E0CB-412D-998F-3C1CE3D9A5B2}" srcOrd="1" destOrd="0" presId="urn:microsoft.com/office/officeart/2005/8/layout/hierarchy1"/>
    <dgm:cxn modelId="{C9733C3A-66D1-4E55-8715-81F950A5B254}" type="presParOf" srcId="{BC9E5E6B-E0CB-412D-998F-3C1CE3D9A5B2}" destId="{E5425D1C-8F47-499E-B161-8F84FC7F8FFA}" srcOrd="0" destOrd="0" presId="urn:microsoft.com/office/officeart/2005/8/layout/hierarchy1"/>
    <dgm:cxn modelId="{4ED2353C-3C08-49B6-84E1-7A0E067382EB}" type="presParOf" srcId="{E5425D1C-8F47-499E-B161-8F84FC7F8FFA}" destId="{7E71DE84-3E02-4DB1-9A81-9F081CF81A8B}" srcOrd="0" destOrd="0" presId="urn:microsoft.com/office/officeart/2005/8/layout/hierarchy1"/>
    <dgm:cxn modelId="{A3CA2DB5-7A3A-47E5-9CE0-8D9025BCFD4C}" type="presParOf" srcId="{E5425D1C-8F47-499E-B161-8F84FC7F8FFA}" destId="{ADEDFC0B-E81C-4AC8-BE36-DFC2627CD144}" srcOrd="1" destOrd="0" presId="urn:microsoft.com/office/officeart/2005/8/layout/hierarchy1"/>
    <dgm:cxn modelId="{6EBB2EF4-0D06-499E-9E8D-19E32F81F9FF}" type="presParOf" srcId="{BC9E5E6B-E0CB-412D-998F-3C1CE3D9A5B2}" destId="{5BE3AA20-3A99-4A2D-8FAF-7B19DCCBFEAB}" srcOrd="1" destOrd="0" presId="urn:microsoft.com/office/officeart/2005/8/layout/hierarchy1"/>
    <dgm:cxn modelId="{DE1E9E3D-4801-4DFB-A79C-445D88A43835}" type="presParOf" srcId="{751106AF-D75F-4FE5-B382-9707B9EA3352}" destId="{FE8FF96D-6396-4500-9455-F411CC11DCD9}" srcOrd="2" destOrd="0" presId="urn:microsoft.com/office/officeart/2005/8/layout/hierarchy1"/>
    <dgm:cxn modelId="{98B438C7-D286-4C9F-A7F2-36C180C0D576}" type="presParOf" srcId="{751106AF-D75F-4FE5-B382-9707B9EA3352}" destId="{BFD7E51E-D102-4F81-A8FA-B29E1A0504D4}" srcOrd="3" destOrd="0" presId="urn:microsoft.com/office/officeart/2005/8/layout/hierarchy1"/>
    <dgm:cxn modelId="{D8AFD901-1811-4ED9-93A0-97954EB93941}" type="presParOf" srcId="{BFD7E51E-D102-4F81-A8FA-B29E1A0504D4}" destId="{80A64ABB-E73B-4238-8DFB-28C77319354F}" srcOrd="0" destOrd="0" presId="urn:microsoft.com/office/officeart/2005/8/layout/hierarchy1"/>
    <dgm:cxn modelId="{C3848D44-D1B2-49FD-945A-1F7EEB545DA3}" type="presParOf" srcId="{80A64ABB-E73B-4238-8DFB-28C77319354F}" destId="{0E9B8847-DE2C-4F76-8D70-2B65FC864F32}" srcOrd="0" destOrd="0" presId="urn:microsoft.com/office/officeart/2005/8/layout/hierarchy1"/>
    <dgm:cxn modelId="{1386D785-65B0-4A4D-9054-9DB04F9D7208}" type="presParOf" srcId="{80A64ABB-E73B-4238-8DFB-28C77319354F}" destId="{81F54D53-FFE5-41EA-9B2E-2DC9948B8B01}" srcOrd="1" destOrd="0" presId="urn:microsoft.com/office/officeart/2005/8/layout/hierarchy1"/>
    <dgm:cxn modelId="{7FD60F9E-55A3-402A-93E8-53574F1FE693}" type="presParOf" srcId="{BFD7E51E-D102-4F81-A8FA-B29E1A0504D4}" destId="{25F6A28E-0059-4B9E-BA9E-3E5029A6C6D6}" srcOrd="1" destOrd="0" presId="urn:microsoft.com/office/officeart/2005/8/layout/hierarchy1"/>
    <dgm:cxn modelId="{2E7FB975-D251-4F35-BEFB-EA7CE817F258}" type="presParOf" srcId="{25F6A28E-0059-4B9E-BA9E-3E5029A6C6D6}" destId="{791BBA4C-C807-41AF-A80F-5913DE4B965A}" srcOrd="0" destOrd="0" presId="urn:microsoft.com/office/officeart/2005/8/layout/hierarchy1"/>
    <dgm:cxn modelId="{41DA2745-00D1-432B-9791-010F2CC9AB81}" type="presParOf" srcId="{25F6A28E-0059-4B9E-BA9E-3E5029A6C6D6}" destId="{D4E6B03E-5AB6-4569-882D-B7945C6844BA}" srcOrd="1" destOrd="0" presId="urn:microsoft.com/office/officeart/2005/8/layout/hierarchy1"/>
    <dgm:cxn modelId="{50802DBF-5057-4196-893B-67822477B27E}" type="presParOf" srcId="{D4E6B03E-5AB6-4569-882D-B7945C6844BA}" destId="{A6C6FD3A-2064-46B1-84C5-1D0445D278EA}" srcOrd="0" destOrd="0" presId="urn:microsoft.com/office/officeart/2005/8/layout/hierarchy1"/>
    <dgm:cxn modelId="{33C13EEA-0D43-4BC0-B04F-A4E55D23C743}" type="presParOf" srcId="{A6C6FD3A-2064-46B1-84C5-1D0445D278EA}" destId="{6F6BA783-426E-4974-BEF4-7EA8839D9231}" srcOrd="0" destOrd="0" presId="urn:microsoft.com/office/officeart/2005/8/layout/hierarchy1"/>
    <dgm:cxn modelId="{E1B1B7A8-4649-43B5-8B97-50843991ECDD}" type="presParOf" srcId="{A6C6FD3A-2064-46B1-84C5-1D0445D278EA}" destId="{E77AB1E7-96D0-40B3-B54A-1926E3718D65}" srcOrd="1" destOrd="0" presId="urn:microsoft.com/office/officeart/2005/8/layout/hierarchy1"/>
    <dgm:cxn modelId="{389D775D-2C0E-42BC-9C41-DB6EC028B704}" type="presParOf" srcId="{D4E6B03E-5AB6-4569-882D-B7945C6844BA}" destId="{0F8F7FB1-D7D9-4FBB-9DD5-7713BCC3F0F5}" srcOrd="1" destOrd="0" presId="urn:microsoft.com/office/officeart/2005/8/layout/hierarchy1"/>
    <dgm:cxn modelId="{2E7FC8AF-CCA0-492F-A986-DE95851C1C00}" type="presParOf" srcId="{528673D2-1A7B-420B-9170-66471340F88D}" destId="{ADC74077-DAE0-4158-8224-73628A1364E4}" srcOrd="2" destOrd="0" presId="urn:microsoft.com/office/officeart/2005/8/layout/hierarchy1"/>
    <dgm:cxn modelId="{608DC472-CC7E-42C6-8349-F30A2DA9D404}" type="presParOf" srcId="{528673D2-1A7B-420B-9170-66471340F88D}" destId="{BAC0EDE2-1425-4F24-9A68-6AD6514B2877}" srcOrd="3" destOrd="0" presId="urn:microsoft.com/office/officeart/2005/8/layout/hierarchy1"/>
    <dgm:cxn modelId="{77A80528-F2E2-4B0A-95F6-8BDAB9676B49}" type="presParOf" srcId="{BAC0EDE2-1425-4F24-9A68-6AD6514B2877}" destId="{98DECDEC-6EDE-4ADF-91ED-E2A61DF72D12}" srcOrd="0" destOrd="0" presId="urn:microsoft.com/office/officeart/2005/8/layout/hierarchy1"/>
    <dgm:cxn modelId="{B973636C-F189-44D6-8AA1-084156559970}" type="presParOf" srcId="{98DECDEC-6EDE-4ADF-91ED-E2A61DF72D12}" destId="{AECA0082-2222-47BD-8A1F-4877B6BBA2CB}" srcOrd="0" destOrd="0" presId="urn:microsoft.com/office/officeart/2005/8/layout/hierarchy1"/>
    <dgm:cxn modelId="{5149C612-C785-42BF-B006-116DE61E09A5}" type="presParOf" srcId="{98DECDEC-6EDE-4ADF-91ED-E2A61DF72D12}" destId="{D3DDCC20-3C1B-4ABE-8248-130189429720}" srcOrd="1" destOrd="0" presId="urn:microsoft.com/office/officeart/2005/8/layout/hierarchy1"/>
    <dgm:cxn modelId="{BD0A4A68-05DB-4484-8DA0-502D3CA4BBC3}" type="presParOf" srcId="{BAC0EDE2-1425-4F24-9A68-6AD6514B2877}" destId="{705E09ED-3029-46FE-9F8C-6B08FE8A8293}" srcOrd="1" destOrd="0" presId="urn:microsoft.com/office/officeart/2005/8/layout/hierarchy1"/>
    <dgm:cxn modelId="{BE676C8C-07B7-4705-9937-CA6D510550D2}" type="presParOf" srcId="{528673D2-1A7B-420B-9170-66471340F88D}" destId="{F92C7793-923F-4604-AC50-73435C409177}" srcOrd="4" destOrd="0" presId="urn:microsoft.com/office/officeart/2005/8/layout/hierarchy1"/>
    <dgm:cxn modelId="{57784A87-C2A0-49B3-B6DA-C728FC1A4271}" type="presParOf" srcId="{528673D2-1A7B-420B-9170-66471340F88D}" destId="{75FD1C53-6DA6-4108-9036-BDA894A28133}" srcOrd="5" destOrd="0" presId="urn:microsoft.com/office/officeart/2005/8/layout/hierarchy1"/>
    <dgm:cxn modelId="{E027622A-7D45-4163-A948-68887988097D}" type="presParOf" srcId="{75FD1C53-6DA6-4108-9036-BDA894A28133}" destId="{C5CD8E00-3697-4D16-B638-D94EC176A453}" srcOrd="0" destOrd="0" presId="urn:microsoft.com/office/officeart/2005/8/layout/hierarchy1"/>
    <dgm:cxn modelId="{193267B6-D4E0-4DA6-B5A7-2F5552061267}" type="presParOf" srcId="{C5CD8E00-3697-4D16-B638-D94EC176A453}" destId="{DD16485F-F965-4CE9-80ED-EFFED3B210E3}" srcOrd="0" destOrd="0" presId="urn:microsoft.com/office/officeart/2005/8/layout/hierarchy1"/>
    <dgm:cxn modelId="{E5DE48FD-28F1-4A32-B5EC-4E413914C735}" type="presParOf" srcId="{C5CD8E00-3697-4D16-B638-D94EC176A453}" destId="{6E201A6D-DD16-4C5D-9229-132D9FFE90CE}" srcOrd="1" destOrd="0" presId="urn:microsoft.com/office/officeart/2005/8/layout/hierarchy1"/>
    <dgm:cxn modelId="{E09A89C6-F6FA-418B-A898-6CA544ED1E4E}" type="presParOf" srcId="{75FD1C53-6DA6-4108-9036-BDA894A28133}" destId="{438DAFF8-B287-4B5C-B2DF-2DAF9E2E5632}" srcOrd="1" destOrd="0" presId="urn:microsoft.com/office/officeart/2005/8/layout/hierarchy1"/>
    <dgm:cxn modelId="{A5FA75FA-5DF5-46FC-81DD-8F508DA9B4EC}" type="presParOf" srcId="{438DAFF8-B287-4B5C-B2DF-2DAF9E2E5632}" destId="{04ECE153-6B85-432C-8E56-E18C1A0B80A8}" srcOrd="0" destOrd="0" presId="urn:microsoft.com/office/officeart/2005/8/layout/hierarchy1"/>
    <dgm:cxn modelId="{BB2B1A26-CD06-48E0-A241-C8855AB071A0}" type="presParOf" srcId="{438DAFF8-B287-4B5C-B2DF-2DAF9E2E5632}" destId="{10F3AA43-C936-45D4-80ED-91C70B2E42AF}" srcOrd="1" destOrd="0" presId="urn:microsoft.com/office/officeart/2005/8/layout/hierarchy1"/>
    <dgm:cxn modelId="{F430ED67-D4CD-49DB-B163-C6D1C1125BD4}" type="presParOf" srcId="{10F3AA43-C936-45D4-80ED-91C70B2E42AF}" destId="{1B864897-8E5E-4E43-8DF5-001D6095A385}" srcOrd="0" destOrd="0" presId="urn:microsoft.com/office/officeart/2005/8/layout/hierarchy1"/>
    <dgm:cxn modelId="{25E286F0-9717-45C8-98B9-B7942CB3272E}" type="presParOf" srcId="{1B864897-8E5E-4E43-8DF5-001D6095A385}" destId="{3F2F5626-8EA9-433C-97BA-8AB9400958F0}" srcOrd="0" destOrd="0" presId="urn:microsoft.com/office/officeart/2005/8/layout/hierarchy1"/>
    <dgm:cxn modelId="{4C2736FF-8998-4BC5-83F7-53B6F51FAEDD}" type="presParOf" srcId="{1B864897-8E5E-4E43-8DF5-001D6095A385}" destId="{FBFFF406-E97C-40C6-87EF-4A66318BF1AA}" srcOrd="1" destOrd="0" presId="urn:microsoft.com/office/officeart/2005/8/layout/hierarchy1"/>
    <dgm:cxn modelId="{79116DD9-77BF-4A7E-8E77-C2018C7403CD}" type="presParOf" srcId="{10F3AA43-C936-45D4-80ED-91C70B2E42AF}" destId="{FFDCEF5A-29B5-43D3-B8B7-C1EE359828E7}" srcOrd="1" destOrd="0" presId="urn:microsoft.com/office/officeart/2005/8/layout/hierarchy1"/>
    <dgm:cxn modelId="{6C3DEDC9-88E8-4F67-BD44-BC18D19A43F1}" type="presParOf" srcId="{438DAFF8-B287-4B5C-B2DF-2DAF9E2E5632}" destId="{B71A2803-9BE2-4238-B4AF-54F25A5339A7}" srcOrd="2" destOrd="0" presId="urn:microsoft.com/office/officeart/2005/8/layout/hierarchy1"/>
    <dgm:cxn modelId="{8D73A8F0-D2D7-4B12-BD7F-3F5F50A07D94}" type="presParOf" srcId="{438DAFF8-B287-4B5C-B2DF-2DAF9E2E5632}" destId="{69219015-3D4E-4D95-9ACA-C7E014F683FE}" srcOrd="3" destOrd="0" presId="urn:microsoft.com/office/officeart/2005/8/layout/hierarchy1"/>
    <dgm:cxn modelId="{A247D581-1AFB-43CB-BCFB-0A296E1259BD}" type="presParOf" srcId="{69219015-3D4E-4D95-9ACA-C7E014F683FE}" destId="{C4C44502-9D81-4AF0-AC71-84FBDAF001E1}" srcOrd="0" destOrd="0" presId="urn:microsoft.com/office/officeart/2005/8/layout/hierarchy1"/>
    <dgm:cxn modelId="{A47FB935-FC17-4D64-BDA5-E0E5CA0EFC98}" type="presParOf" srcId="{C4C44502-9D81-4AF0-AC71-84FBDAF001E1}" destId="{5E14E041-1A66-4D11-B964-85F86EF1D021}" srcOrd="0" destOrd="0" presId="urn:microsoft.com/office/officeart/2005/8/layout/hierarchy1"/>
    <dgm:cxn modelId="{F6F4DABC-D975-43A7-9C96-7EAA7AA11047}" type="presParOf" srcId="{C4C44502-9D81-4AF0-AC71-84FBDAF001E1}" destId="{51F0D6C9-2F69-444C-A73D-4191DE864396}" srcOrd="1" destOrd="0" presId="urn:microsoft.com/office/officeart/2005/8/layout/hierarchy1"/>
    <dgm:cxn modelId="{A0EC231A-1EA7-4FA2-B229-835A720F5DCB}" type="presParOf" srcId="{69219015-3D4E-4D95-9ACA-C7E014F683FE}" destId="{4F0D81EF-A528-49BD-99D3-FF9965417515}" srcOrd="1" destOrd="0" presId="urn:microsoft.com/office/officeart/2005/8/layout/hierarchy1"/>
    <dgm:cxn modelId="{DF216253-001E-4EA6-995F-73F97479B3F6}" type="presParOf" srcId="{528673D2-1A7B-420B-9170-66471340F88D}" destId="{73B9D8BB-972D-4387-B9A1-04D27FC6737E}" srcOrd="6" destOrd="0" presId="urn:microsoft.com/office/officeart/2005/8/layout/hierarchy1"/>
    <dgm:cxn modelId="{ADD6C82C-2D56-4A87-B815-494A5321B3AD}" type="presParOf" srcId="{528673D2-1A7B-420B-9170-66471340F88D}" destId="{96792955-3D25-4CB4-9566-EE68CA4478EF}" srcOrd="7" destOrd="0" presId="urn:microsoft.com/office/officeart/2005/8/layout/hierarchy1"/>
    <dgm:cxn modelId="{CD8EC3A5-A9EA-4145-BD49-9631AF17239A}" type="presParOf" srcId="{96792955-3D25-4CB4-9566-EE68CA4478EF}" destId="{FB5678F6-310C-45DB-AF5E-0E76A26C1081}" srcOrd="0" destOrd="0" presId="urn:microsoft.com/office/officeart/2005/8/layout/hierarchy1"/>
    <dgm:cxn modelId="{C5076C17-E3C5-483E-8075-0DD28E3E9910}" type="presParOf" srcId="{FB5678F6-310C-45DB-AF5E-0E76A26C1081}" destId="{6C649C2B-103A-45B0-BA13-D9A25ACFEBB8}" srcOrd="0" destOrd="0" presId="urn:microsoft.com/office/officeart/2005/8/layout/hierarchy1"/>
    <dgm:cxn modelId="{7B45C8A0-CF6B-47AF-BD95-6D8F5DAD2DFA}" type="presParOf" srcId="{FB5678F6-310C-45DB-AF5E-0E76A26C1081}" destId="{37FFF05D-13A6-4B78-ABE3-93DB80958BE1}" srcOrd="1" destOrd="0" presId="urn:microsoft.com/office/officeart/2005/8/layout/hierarchy1"/>
    <dgm:cxn modelId="{26453A5D-5DDC-4C9B-91D4-3D570A96AE61}" type="presParOf" srcId="{96792955-3D25-4CB4-9566-EE68CA4478EF}" destId="{C26F0623-14C1-4CD8-8F9D-25C16E7C0985}" srcOrd="1" destOrd="0" presId="urn:microsoft.com/office/officeart/2005/8/layout/hierarchy1"/>
    <dgm:cxn modelId="{BB321B0F-C7DE-4EF7-918C-BC17EE5FB743}" type="presParOf" srcId="{528673D2-1A7B-420B-9170-66471340F88D}" destId="{0DC8B0F9-78CF-416E-95AC-807BC7A71F9E}" srcOrd="8" destOrd="0" presId="urn:microsoft.com/office/officeart/2005/8/layout/hierarchy1"/>
    <dgm:cxn modelId="{52C431F4-71D6-444E-A561-A7C5ECDA363D}" type="presParOf" srcId="{528673D2-1A7B-420B-9170-66471340F88D}" destId="{828309A3-BB58-45CD-AE48-32DAC7AA1220}" srcOrd="9" destOrd="0" presId="urn:microsoft.com/office/officeart/2005/8/layout/hierarchy1"/>
    <dgm:cxn modelId="{019987F3-86AD-4C9B-8194-697E6584E4D8}" type="presParOf" srcId="{828309A3-BB58-45CD-AE48-32DAC7AA1220}" destId="{EAEFC1C2-B384-4AEB-8F83-D4C92916EF26}" srcOrd="0" destOrd="0" presId="urn:microsoft.com/office/officeart/2005/8/layout/hierarchy1"/>
    <dgm:cxn modelId="{6172AD0C-6EBA-425C-BD0B-69ABC1598BA3}" type="presParOf" srcId="{EAEFC1C2-B384-4AEB-8F83-D4C92916EF26}" destId="{439397D0-61FC-493F-912E-7A832B008BD2}" srcOrd="0" destOrd="0" presId="urn:microsoft.com/office/officeart/2005/8/layout/hierarchy1"/>
    <dgm:cxn modelId="{9EACBAC6-BB72-4D3A-95C1-1872549EEC43}" type="presParOf" srcId="{EAEFC1C2-B384-4AEB-8F83-D4C92916EF26}" destId="{6728728C-1D7E-49DA-9FD7-935611150CEC}" srcOrd="1" destOrd="0" presId="urn:microsoft.com/office/officeart/2005/8/layout/hierarchy1"/>
    <dgm:cxn modelId="{DA506299-C8C6-44DC-B3BF-8D66CD5CD870}" type="presParOf" srcId="{828309A3-BB58-45CD-AE48-32DAC7AA1220}" destId="{A3DFF815-A182-42A3-A8A0-4816E81480E7}" srcOrd="1" destOrd="0" presId="urn:microsoft.com/office/officeart/2005/8/layout/hierarchy1"/>
    <dgm:cxn modelId="{B0E0D314-A0EB-4D39-B17C-89893C40DE02}" type="presParOf" srcId="{D104EDCE-9BC1-48F7-A289-F8DAE3C4F8F1}" destId="{86CCA69A-6C93-49DA-BD9F-2425E2813BC9}" srcOrd="2" destOrd="0" presId="urn:microsoft.com/office/officeart/2005/8/layout/hierarchy1"/>
    <dgm:cxn modelId="{FF22931B-F63A-420B-A873-C9DBDB223556}" type="presParOf" srcId="{D104EDCE-9BC1-48F7-A289-F8DAE3C4F8F1}" destId="{F909040F-ECDE-4D11-B2AB-9DA25E244D23}" srcOrd="3" destOrd="0" presId="urn:microsoft.com/office/officeart/2005/8/layout/hierarchy1"/>
    <dgm:cxn modelId="{BF20BA16-8B78-4735-9F06-208B9BCDAFE6}" type="presParOf" srcId="{F909040F-ECDE-4D11-B2AB-9DA25E244D23}" destId="{2ACCE4E8-E85B-4354-91FF-147BFAA07CA3}" srcOrd="0" destOrd="0" presId="urn:microsoft.com/office/officeart/2005/8/layout/hierarchy1"/>
    <dgm:cxn modelId="{6FBDEF86-56D0-411E-8332-70E3924EFC9A}" type="presParOf" srcId="{2ACCE4E8-E85B-4354-91FF-147BFAA07CA3}" destId="{B10C470E-1754-48D7-B2B2-266A6A1B2955}" srcOrd="0" destOrd="0" presId="urn:microsoft.com/office/officeart/2005/8/layout/hierarchy1"/>
    <dgm:cxn modelId="{F5646DFE-9B21-4F4E-A173-18F5E1E490B6}" type="presParOf" srcId="{2ACCE4E8-E85B-4354-91FF-147BFAA07CA3}" destId="{5F8A627A-50F1-489F-9389-C7A2964CD312}" srcOrd="1" destOrd="0" presId="urn:microsoft.com/office/officeart/2005/8/layout/hierarchy1"/>
    <dgm:cxn modelId="{F23DBF72-8C03-484D-939F-528851092CCA}" type="presParOf" srcId="{F909040F-ECDE-4D11-B2AB-9DA25E244D23}" destId="{38B72695-964D-4C11-8DE0-D30598946277}"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upo 1"/>
      <dsp:cNvGrpSpPr/>
    </dsp:nvGrpSpPr>
    <dsp:grpSpPr>
      <a:xfrm>
        <a:off x="0" y="0"/>
        <a:ext cx="6838950" cy="5476875"/>
        <a:chOff x="0" y="0"/>
        <a:chExt cx="6838950" cy="5476875"/>
      </a:xfrm>
    </dsp:grpSpPr>
    <dsp:sp modelId="{0896426B-6F22-459B-931E-37411B43262B}">
      <dsp:nvSpPr>
        <dsp:cNvPr id="5" name="Forma libre 4"/>
        <dsp:cNvSpPr/>
      </dsp:nvSpPr>
      <dsp:spPr bwMode="white">
        <a:xfrm>
          <a:off x="3674306" y="647553"/>
          <a:ext cx="622919" cy="297019"/>
        </a:xfrm>
        <a:custGeom>
          <a:avLst/>
          <a:gdLst/>
          <a:ahLst/>
          <a:cxnLst/>
          <a:pathLst>
            <a:path w="981" h="468">
              <a:moveTo>
                <a:pt x="981" y="0"/>
              </a:moveTo>
              <a:lnTo>
                <a:pt x="981" y="379"/>
              </a:lnTo>
              <a:lnTo>
                <a:pt x="0" y="379"/>
              </a:lnTo>
              <a:lnTo>
                <a:pt x="0" y="468"/>
              </a:lnTo>
            </a:path>
          </a:pathLst>
        </a:custGeom>
      </dsp:spPr>
      <dsp:style>
        <a:lnRef idx="2">
          <a:schemeClr val="accent1">
            <a:shade val="60000"/>
          </a:schemeClr>
        </a:lnRef>
        <a:fillRef idx="0">
          <a:schemeClr val="accent1"/>
        </a:fillRef>
        <a:effectRef idx="0">
          <a:scrgbClr r="0" g="0" b="0"/>
        </a:effectRef>
        <a:fontRef idx="minor"/>
      </dsp:style>
      <dsp:txXfrm>
        <a:off x="3674306" y="647553"/>
        <a:ext cx="622919" cy="297019"/>
      </dsp:txXfrm>
    </dsp:sp>
    <dsp:sp modelId="{062C771A-4AFC-483D-AB51-F8D062EF7673}">
      <dsp:nvSpPr>
        <dsp:cNvPr id="8" name="Forma libre 7"/>
        <dsp:cNvSpPr/>
      </dsp:nvSpPr>
      <dsp:spPr bwMode="white">
        <a:xfrm>
          <a:off x="1182629" y="1591842"/>
          <a:ext cx="2491677" cy="297019"/>
        </a:xfrm>
        <a:custGeom>
          <a:avLst/>
          <a:gdLst/>
          <a:ahLst/>
          <a:cxnLst/>
          <a:pathLst>
            <a:path w="3924" h="468">
              <a:moveTo>
                <a:pt x="3924" y="0"/>
              </a:moveTo>
              <a:lnTo>
                <a:pt x="3924" y="379"/>
              </a:lnTo>
              <a:lnTo>
                <a:pt x="0" y="379"/>
              </a:lnTo>
              <a:lnTo>
                <a:pt x="0" y="468"/>
              </a:lnTo>
            </a:path>
          </a:pathLst>
        </a:custGeom>
      </dsp:spPr>
      <dsp:style>
        <a:lnRef idx="2">
          <a:schemeClr val="accent1">
            <a:shade val="80000"/>
          </a:schemeClr>
        </a:lnRef>
        <a:fillRef idx="0">
          <a:schemeClr val="accent1"/>
        </a:fillRef>
        <a:effectRef idx="0">
          <a:scrgbClr r="0" g="0" b="0"/>
        </a:effectRef>
        <a:fontRef idx="minor"/>
      </dsp:style>
      <dsp:txXfrm>
        <a:off x="1182629" y="1591842"/>
        <a:ext cx="2491677" cy="297019"/>
      </dsp:txXfrm>
    </dsp:sp>
    <dsp:sp modelId="{DDEB3634-A049-4AA8-B6D3-7552882FB21A}">
      <dsp:nvSpPr>
        <dsp:cNvPr id="11" name="Forma libre 10"/>
        <dsp:cNvSpPr/>
      </dsp:nvSpPr>
      <dsp:spPr bwMode="white">
        <a:xfrm>
          <a:off x="559710" y="2536130"/>
          <a:ext cx="622919" cy="297019"/>
        </a:xfrm>
        <a:custGeom>
          <a:avLst/>
          <a:gdLst/>
          <a:ahLst/>
          <a:cxnLst/>
          <a:pathLst>
            <a:path w="981" h="468">
              <a:moveTo>
                <a:pt x="981" y="0"/>
              </a:moveTo>
              <a:lnTo>
                <a:pt x="981" y="379"/>
              </a:lnTo>
              <a:lnTo>
                <a:pt x="0" y="379"/>
              </a:lnTo>
              <a:lnTo>
                <a:pt x="0" y="468"/>
              </a:lnTo>
            </a:path>
          </a:pathLst>
        </a:custGeom>
      </dsp:spPr>
      <dsp:style>
        <a:lnRef idx="2">
          <a:schemeClr val="accent1">
            <a:shade val="80000"/>
          </a:schemeClr>
        </a:lnRef>
        <a:fillRef idx="0">
          <a:schemeClr val="accent1"/>
        </a:fillRef>
        <a:effectRef idx="0">
          <a:scrgbClr r="0" g="0" b="0"/>
        </a:effectRef>
        <a:fontRef idx="minor"/>
      </dsp:style>
      <dsp:txXfrm>
        <a:off x="559710" y="2536130"/>
        <a:ext cx="622919" cy="297019"/>
      </dsp:txXfrm>
    </dsp:sp>
    <dsp:sp modelId="{D5F9FCBC-DD30-43DD-8B7F-ED2BA24E16A1}">
      <dsp:nvSpPr>
        <dsp:cNvPr id="14" name="Forma libre 13"/>
        <dsp:cNvSpPr/>
      </dsp:nvSpPr>
      <dsp:spPr bwMode="white">
        <a:xfrm>
          <a:off x="559710" y="3480419"/>
          <a:ext cx="0" cy="297019"/>
        </a:xfrm>
        <a:custGeom>
          <a:avLst/>
          <a:gdLst/>
          <a:ahLst/>
          <a:cxnLst/>
          <a:pathLst>
            <a:path h="468">
              <a:moveTo>
                <a:pt x="0" y="0"/>
              </a:moveTo>
              <a:lnTo>
                <a:pt x="0" y="468"/>
              </a:lnTo>
            </a:path>
          </a:pathLst>
        </a:custGeom>
      </dsp:spPr>
      <dsp:style>
        <a:lnRef idx="2">
          <a:schemeClr val="accent1">
            <a:shade val="80000"/>
          </a:schemeClr>
        </a:lnRef>
        <a:fillRef idx="0">
          <a:schemeClr val="accent1"/>
        </a:fillRef>
        <a:effectRef idx="0">
          <a:scrgbClr r="0" g="0" b="0"/>
        </a:effectRef>
        <a:fontRef idx="minor"/>
      </dsp:style>
      <dsp:txXfrm>
        <a:off x="559710" y="3480419"/>
        <a:ext cx="0" cy="297019"/>
      </dsp:txXfrm>
    </dsp:sp>
    <dsp:sp modelId="{DE40AE74-084B-4978-B1CA-E5AFA875259C}">
      <dsp:nvSpPr>
        <dsp:cNvPr id="17" name="Forma libre 16"/>
        <dsp:cNvSpPr/>
      </dsp:nvSpPr>
      <dsp:spPr bwMode="white">
        <a:xfrm>
          <a:off x="559710" y="4424708"/>
          <a:ext cx="0" cy="297019"/>
        </a:xfrm>
        <a:custGeom>
          <a:avLst/>
          <a:gdLst/>
          <a:ahLst/>
          <a:cxnLst/>
          <a:pathLst>
            <a:path h="468">
              <a:moveTo>
                <a:pt x="0" y="0"/>
              </a:moveTo>
              <a:lnTo>
                <a:pt x="0" y="468"/>
              </a:lnTo>
            </a:path>
          </a:pathLst>
        </a:custGeom>
      </dsp:spPr>
      <dsp:style>
        <a:lnRef idx="2">
          <a:schemeClr val="accent1">
            <a:shade val="80000"/>
          </a:schemeClr>
        </a:lnRef>
        <a:fillRef idx="0">
          <a:schemeClr val="accent1"/>
        </a:fillRef>
        <a:effectRef idx="0">
          <a:scrgbClr r="0" g="0" b="0"/>
        </a:effectRef>
        <a:fontRef idx="minor"/>
      </dsp:style>
      <dsp:txXfrm>
        <a:off x="559710" y="4424708"/>
        <a:ext cx="0" cy="297019"/>
      </dsp:txXfrm>
    </dsp:sp>
    <dsp:sp modelId="{FE8FF96D-6396-4500-9455-F411CC11DCD9}">
      <dsp:nvSpPr>
        <dsp:cNvPr id="20" name="Forma libre 19"/>
        <dsp:cNvSpPr/>
      </dsp:nvSpPr>
      <dsp:spPr bwMode="white">
        <a:xfrm>
          <a:off x="1182629" y="2536130"/>
          <a:ext cx="622919" cy="297019"/>
        </a:xfrm>
        <a:custGeom>
          <a:avLst/>
          <a:gdLst/>
          <a:ahLst/>
          <a:cxnLst/>
          <a:pathLst>
            <a:path w="981" h="468">
              <a:moveTo>
                <a:pt x="0" y="0"/>
              </a:moveTo>
              <a:lnTo>
                <a:pt x="0" y="379"/>
              </a:lnTo>
              <a:lnTo>
                <a:pt x="981" y="379"/>
              </a:lnTo>
              <a:lnTo>
                <a:pt x="981" y="468"/>
              </a:lnTo>
            </a:path>
          </a:pathLst>
        </a:custGeom>
      </dsp:spPr>
      <dsp:style>
        <a:lnRef idx="2">
          <a:schemeClr val="accent1">
            <a:shade val="80000"/>
          </a:schemeClr>
        </a:lnRef>
        <a:fillRef idx="0">
          <a:schemeClr val="accent1"/>
        </a:fillRef>
        <a:effectRef idx="0">
          <a:scrgbClr r="0" g="0" b="0"/>
        </a:effectRef>
        <a:fontRef idx="minor"/>
      </dsp:style>
      <dsp:txXfrm>
        <a:off x="1182629" y="2536130"/>
        <a:ext cx="622919" cy="297019"/>
      </dsp:txXfrm>
    </dsp:sp>
    <dsp:sp modelId="{791BBA4C-C807-41AF-A80F-5913DE4B965A}">
      <dsp:nvSpPr>
        <dsp:cNvPr id="23" name="Forma libre 22"/>
        <dsp:cNvSpPr/>
      </dsp:nvSpPr>
      <dsp:spPr bwMode="white">
        <a:xfrm>
          <a:off x="1805548" y="3480419"/>
          <a:ext cx="0" cy="297019"/>
        </a:xfrm>
        <a:custGeom>
          <a:avLst/>
          <a:gdLst/>
          <a:ahLst/>
          <a:cxnLst/>
          <a:pathLst>
            <a:path h="468">
              <a:moveTo>
                <a:pt x="0" y="0"/>
              </a:moveTo>
              <a:lnTo>
                <a:pt x="0" y="468"/>
              </a:lnTo>
            </a:path>
          </a:pathLst>
        </a:custGeom>
      </dsp:spPr>
      <dsp:style>
        <a:lnRef idx="2">
          <a:schemeClr val="accent1">
            <a:shade val="80000"/>
          </a:schemeClr>
        </a:lnRef>
        <a:fillRef idx="0">
          <a:schemeClr val="accent1"/>
        </a:fillRef>
        <a:effectRef idx="0">
          <a:scrgbClr r="0" g="0" b="0"/>
        </a:effectRef>
        <a:fontRef idx="minor"/>
      </dsp:style>
      <dsp:txXfrm>
        <a:off x="1805548" y="3480419"/>
        <a:ext cx="0" cy="297019"/>
      </dsp:txXfrm>
    </dsp:sp>
    <dsp:sp modelId="{ADC74077-DAE0-4158-8224-73628A1364E4}">
      <dsp:nvSpPr>
        <dsp:cNvPr id="26" name="Forma libre 25"/>
        <dsp:cNvSpPr/>
      </dsp:nvSpPr>
      <dsp:spPr bwMode="white">
        <a:xfrm>
          <a:off x="2417846" y="1591842"/>
          <a:ext cx="1256460" cy="286391"/>
        </a:xfrm>
        <a:custGeom>
          <a:avLst/>
          <a:gdLst/>
          <a:ahLst/>
          <a:cxnLst/>
          <a:pathLst>
            <a:path w="1979" h="451">
              <a:moveTo>
                <a:pt x="1979" y="0"/>
              </a:moveTo>
              <a:lnTo>
                <a:pt x="1979" y="362"/>
              </a:lnTo>
              <a:lnTo>
                <a:pt x="0" y="362"/>
              </a:lnTo>
              <a:lnTo>
                <a:pt x="0" y="451"/>
              </a:lnTo>
            </a:path>
          </a:pathLst>
        </a:custGeom>
      </dsp:spPr>
      <dsp:style>
        <a:lnRef idx="2">
          <a:schemeClr val="accent1">
            <a:shade val="80000"/>
          </a:schemeClr>
        </a:lnRef>
        <a:fillRef idx="0">
          <a:schemeClr val="accent1"/>
        </a:fillRef>
        <a:effectRef idx="0">
          <a:scrgbClr r="0" g="0" b="0"/>
        </a:effectRef>
        <a:fontRef idx="minor"/>
      </dsp:style>
      <dsp:txXfrm>
        <a:off x="2417846" y="1591842"/>
        <a:ext cx="1256460" cy="286391"/>
      </dsp:txXfrm>
    </dsp:sp>
    <dsp:sp modelId="{F92C7793-923F-4604-AC50-73435C409177}">
      <dsp:nvSpPr>
        <dsp:cNvPr id="29" name="Forma libre 28"/>
        <dsp:cNvSpPr/>
      </dsp:nvSpPr>
      <dsp:spPr bwMode="white">
        <a:xfrm>
          <a:off x="3674306" y="1591842"/>
          <a:ext cx="0" cy="297019"/>
        </a:xfrm>
        <a:custGeom>
          <a:avLst/>
          <a:gdLst/>
          <a:ahLst/>
          <a:cxnLst/>
          <a:pathLst>
            <a:path h="468">
              <a:moveTo>
                <a:pt x="0" y="0"/>
              </a:moveTo>
              <a:lnTo>
                <a:pt x="0" y="468"/>
              </a:lnTo>
            </a:path>
          </a:pathLst>
        </a:custGeom>
      </dsp:spPr>
      <dsp:style>
        <a:lnRef idx="2">
          <a:schemeClr val="accent1">
            <a:shade val="80000"/>
          </a:schemeClr>
        </a:lnRef>
        <a:fillRef idx="0">
          <a:schemeClr val="accent1"/>
        </a:fillRef>
        <a:effectRef idx="0">
          <a:scrgbClr r="0" g="0" b="0"/>
        </a:effectRef>
        <a:fontRef idx="minor"/>
      </dsp:style>
      <dsp:txXfrm>
        <a:off x="3674306" y="1591842"/>
        <a:ext cx="0" cy="297019"/>
      </dsp:txXfrm>
    </dsp:sp>
    <dsp:sp modelId="{04ECE153-6B85-432C-8E56-E18C1A0B80A8}">
      <dsp:nvSpPr>
        <dsp:cNvPr id="32" name="Forma libre 31"/>
        <dsp:cNvSpPr/>
      </dsp:nvSpPr>
      <dsp:spPr bwMode="white">
        <a:xfrm>
          <a:off x="3051386" y="2536130"/>
          <a:ext cx="622919" cy="297019"/>
        </a:xfrm>
        <a:custGeom>
          <a:avLst/>
          <a:gdLst/>
          <a:ahLst/>
          <a:cxnLst/>
          <a:pathLst>
            <a:path w="981" h="468">
              <a:moveTo>
                <a:pt x="981" y="0"/>
              </a:moveTo>
              <a:lnTo>
                <a:pt x="981" y="379"/>
              </a:lnTo>
              <a:lnTo>
                <a:pt x="0" y="379"/>
              </a:lnTo>
              <a:lnTo>
                <a:pt x="0" y="468"/>
              </a:lnTo>
            </a:path>
          </a:pathLst>
        </a:custGeom>
      </dsp:spPr>
      <dsp:style>
        <a:lnRef idx="2">
          <a:schemeClr val="accent1">
            <a:shade val="80000"/>
          </a:schemeClr>
        </a:lnRef>
        <a:fillRef idx="0">
          <a:schemeClr val="accent1"/>
        </a:fillRef>
        <a:effectRef idx="0">
          <a:scrgbClr r="0" g="0" b="0"/>
        </a:effectRef>
        <a:fontRef idx="minor"/>
      </dsp:style>
      <dsp:txXfrm>
        <a:off x="3051386" y="2536130"/>
        <a:ext cx="622919" cy="297019"/>
      </dsp:txXfrm>
    </dsp:sp>
    <dsp:sp modelId="{B71A2803-9BE2-4238-B4AF-54F25A5339A7}">
      <dsp:nvSpPr>
        <dsp:cNvPr id="35" name="Forma libre 34"/>
        <dsp:cNvSpPr/>
      </dsp:nvSpPr>
      <dsp:spPr bwMode="white">
        <a:xfrm>
          <a:off x="3674306" y="2536130"/>
          <a:ext cx="622919" cy="297019"/>
        </a:xfrm>
        <a:custGeom>
          <a:avLst/>
          <a:gdLst/>
          <a:ahLst/>
          <a:cxnLst/>
          <a:pathLst>
            <a:path w="981" h="468">
              <a:moveTo>
                <a:pt x="0" y="0"/>
              </a:moveTo>
              <a:lnTo>
                <a:pt x="0" y="379"/>
              </a:lnTo>
              <a:lnTo>
                <a:pt x="981" y="379"/>
              </a:lnTo>
              <a:lnTo>
                <a:pt x="981" y="468"/>
              </a:lnTo>
            </a:path>
          </a:pathLst>
        </a:custGeom>
      </dsp:spPr>
      <dsp:style>
        <a:lnRef idx="2">
          <a:schemeClr val="accent1">
            <a:shade val="80000"/>
          </a:schemeClr>
        </a:lnRef>
        <a:fillRef idx="0">
          <a:schemeClr val="accent1"/>
        </a:fillRef>
        <a:effectRef idx="0">
          <a:scrgbClr r="0" g="0" b="0"/>
        </a:effectRef>
        <a:fontRef idx="minor"/>
      </dsp:style>
      <dsp:txXfrm>
        <a:off x="3674306" y="2536130"/>
        <a:ext cx="622919" cy="297019"/>
      </dsp:txXfrm>
    </dsp:sp>
    <dsp:sp modelId="{73B9D8BB-972D-4387-B9A1-04D27FC6737E}">
      <dsp:nvSpPr>
        <dsp:cNvPr id="38" name="Forma libre 37"/>
        <dsp:cNvSpPr/>
      </dsp:nvSpPr>
      <dsp:spPr bwMode="white">
        <a:xfrm>
          <a:off x="3674306" y="1591842"/>
          <a:ext cx="1245838" cy="297019"/>
        </a:xfrm>
        <a:custGeom>
          <a:avLst/>
          <a:gdLst/>
          <a:ahLst/>
          <a:cxnLst/>
          <a:pathLst>
            <a:path w="1962" h="468">
              <a:moveTo>
                <a:pt x="0" y="0"/>
              </a:moveTo>
              <a:lnTo>
                <a:pt x="0" y="379"/>
              </a:lnTo>
              <a:lnTo>
                <a:pt x="1962" y="379"/>
              </a:lnTo>
              <a:lnTo>
                <a:pt x="1962" y="468"/>
              </a:lnTo>
            </a:path>
          </a:pathLst>
        </a:custGeom>
      </dsp:spPr>
      <dsp:style>
        <a:lnRef idx="2">
          <a:schemeClr val="accent1">
            <a:shade val="80000"/>
          </a:schemeClr>
        </a:lnRef>
        <a:fillRef idx="0">
          <a:schemeClr val="accent1"/>
        </a:fillRef>
        <a:effectRef idx="0">
          <a:scrgbClr r="0" g="0" b="0"/>
        </a:effectRef>
        <a:fontRef idx="minor"/>
      </dsp:style>
      <dsp:txXfrm>
        <a:off x="3674306" y="1591842"/>
        <a:ext cx="1245838" cy="297019"/>
      </dsp:txXfrm>
    </dsp:sp>
    <dsp:sp modelId="{0DC8B0F9-78CF-416E-95AC-807BC7A71F9E}">
      <dsp:nvSpPr>
        <dsp:cNvPr id="41" name="Forma libre 40"/>
        <dsp:cNvSpPr/>
      </dsp:nvSpPr>
      <dsp:spPr bwMode="white">
        <a:xfrm>
          <a:off x="3674306" y="1591842"/>
          <a:ext cx="2491677" cy="297019"/>
        </a:xfrm>
        <a:custGeom>
          <a:avLst/>
          <a:gdLst/>
          <a:ahLst/>
          <a:cxnLst/>
          <a:pathLst>
            <a:path w="3924" h="468">
              <a:moveTo>
                <a:pt x="0" y="0"/>
              </a:moveTo>
              <a:lnTo>
                <a:pt x="0" y="379"/>
              </a:lnTo>
              <a:lnTo>
                <a:pt x="3924" y="379"/>
              </a:lnTo>
              <a:lnTo>
                <a:pt x="3924" y="468"/>
              </a:lnTo>
            </a:path>
          </a:pathLst>
        </a:custGeom>
      </dsp:spPr>
      <dsp:style>
        <a:lnRef idx="2">
          <a:schemeClr val="accent1">
            <a:shade val="80000"/>
          </a:schemeClr>
        </a:lnRef>
        <a:fillRef idx="0">
          <a:schemeClr val="accent1"/>
        </a:fillRef>
        <a:effectRef idx="0">
          <a:scrgbClr r="0" g="0" b="0"/>
        </a:effectRef>
        <a:fontRef idx="minor"/>
      </dsp:style>
      <dsp:txXfrm>
        <a:off x="3674306" y="1591842"/>
        <a:ext cx="2491677" cy="297019"/>
      </dsp:txXfrm>
    </dsp:sp>
    <dsp:sp modelId="{86CCA69A-6C93-49DA-BD9F-2425E2813BC9}">
      <dsp:nvSpPr>
        <dsp:cNvPr id="44" name="Forma libre 43"/>
        <dsp:cNvSpPr/>
      </dsp:nvSpPr>
      <dsp:spPr bwMode="white">
        <a:xfrm>
          <a:off x="4297225" y="647553"/>
          <a:ext cx="622919" cy="297019"/>
        </a:xfrm>
        <a:custGeom>
          <a:avLst/>
          <a:gdLst/>
          <a:ahLst/>
          <a:cxnLst/>
          <a:pathLst>
            <a:path w="981" h="468">
              <a:moveTo>
                <a:pt x="0" y="0"/>
              </a:moveTo>
              <a:lnTo>
                <a:pt x="0" y="379"/>
              </a:lnTo>
              <a:lnTo>
                <a:pt x="981" y="379"/>
              </a:lnTo>
              <a:lnTo>
                <a:pt x="981" y="468"/>
              </a:lnTo>
            </a:path>
          </a:pathLst>
        </a:custGeom>
      </dsp:spPr>
      <dsp:style>
        <a:lnRef idx="2">
          <a:schemeClr val="accent1">
            <a:shade val="60000"/>
          </a:schemeClr>
        </a:lnRef>
        <a:fillRef idx="0">
          <a:schemeClr val="accent1"/>
        </a:fillRef>
        <a:effectRef idx="0">
          <a:scrgbClr r="0" g="0" b="0"/>
        </a:effectRef>
        <a:fontRef idx="minor"/>
      </dsp:style>
      <dsp:txXfrm>
        <a:off x="4297225" y="647553"/>
        <a:ext cx="622919" cy="297019"/>
      </dsp:txXfrm>
    </dsp:sp>
    <dsp:sp modelId="{6395B85C-B4FA-4F9A-93B4-7C7F0ACA2306}">
      <dsp:nvSpPr>
        <dsp:cNvPr id="3" name="Rectángulo redondeado 2"/>
        <dsp:cNvSpPr/>
      </dsp:nvSpPr>
      <dsp:spPr bwMode="white">
        <a:xfrm>
          <a:off x="3787564" y="283"/>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3787564" y="283"/>
        <a:ext cx="1019322" cy="647270"/>
      </dsp:txXfrm>
    </dsp:sp>
    <dsp:sp modelId="{A597F248-CC5D-455F-AE30-266A42A15EAE}">
      <dsp:nvSpPr>
        <dsp:cNvPr id="4" name="Rectángulo redondeado 3"/>
        <dsp:cNvSpPr/>
      </dsp:nvSpPr>
      <dsp:spPr bwMode="white">
        <a:xfrm>
          <a:off x="3900822" y="107878"/>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Presidente </a:t>
          </a:r>
          <a:endParaRPr lang="es-MX">
            <a:solidFill>
              <a:schemeClr val="dk1"/>
            </a:solidFill>
          </a:endParaRPr>
        </a:p>
        <a:p>
          <a:pPr lvl="0">
            <a:lnSpc>
              <a:spcPct val="100000"/>
            </a:lnSpc>
            <a:spcBef>
              <a:spcPct val="0"/>
            </a:spcBef>
            <a:spcAft>
              <a:spcPct val="35000"/>
            </a:spcAft>
          </a:pPr>
          <a:r>
            <a:rPr lang="es-MX">
              <a:solidFill>
                <a:schemeClr val="dk1"/>
              </a:solidFill>
            </a:rPr>
            <a:t>Gobierno Municipal</a:t>
          </a:r>
          <a:endParaRPr>
            <a:solidFill>
              <a:schemeClr val="dk1"/>
            </a:solidFill>
          </a:endParaRPr>
        </a:p>
      </dsp:txBody>
      <dsp:txXfrm>
        <a:off x="3900822" y="107878"/>
        <a:ext cx="1019322" cy="647270"/>
      </dsp:txXfrm>
    </dsp:sp>
    <dsp:sp modelId="{55F3043C-3CFD-400F-8522-012A8D0016F6}">
      <dsp:nvSpPr>
        <dsp:cNvPr id="6" name="Rectángulo redondeado 5"/>
        <dsp:cNvSpPr/>
      </dsp:nvSpPr>
      <dsp:spPr bwMode="white">
        <a:xfrm>
          <a:off x="3164644" y="944572"/>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3164644" y="944572"/>
        <a:ext cx="1019322" cy="647270"/>
      </dsp:txXfrm>
    </dsp:sp>
    <dsp:sp modelId="{58481DDF-BAAA-47BD-A922-852C9069A9FA}">
      <dsp:nvSpPr>
        <dsp:cNvPr id="7" name="Rectángulo redondeado 6"/>
        <dsp:cNvSpPr/>
      </dsp:nvSpPr>
      <dsp:spPr bwMode="white">
        <a:xfrm>
          <a:off x="3277902" y="1052167"/>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Directora</a:t>
          </a:r>
          <a:endParaRPr lang="es-MX">
            <a:solidFill>
              <a:schemeClr val="dk1"/>
            </a:solidFill>
          </a:endParaRPr>
        </a:p>
        <a:p>
          <a:pPr lvl="0">
            <a:lnSpc>
              <a:spcPct val="100000"/>
            </a:lnSpc>
            <a:spcBef>
              <a:spcPct val="0"/>
            </a:spcBef>
            <a:spcAft>
              <a:spcPct val="35000"/>
            </a:spcAft>
          </a:pPr>
          <a:r>
            <a:rPr lang="es-MX">
              <a:solidFill>
                <a:schemeClr val="dk1"/>
              </a:solidFill>
            </a:rPr>
            <a:t>Casa de la Cultura</a:t>
          </a:r>
          <a:endParaRPr>
            <a:solidFill>
              <a:schemeClr val="dk1"/>
            </a:solidFill>
          </a:endParaRPr>
        </a:p>
      </dsp:txBody>
      <dsp:txXfrm>
        <a:off x="3277902" y="1052167"/>
        <a:ext cx="1019322" cy="647270"/>
      </dsp:txXfrm>
    </dsp:sp>
    <dsp:sp modelId="{C4E4ACDA-8C7A-4878-9CF1-5CB3224D99E7}">
      <dsp:nvSpPr>
        <dsp:cNvPr id="9" name="Rectángulo redondeado 8"/>
        <dsp:cNvSpPr/>
      </dsp:nvSpPr>
      <dsp:spPr bwMode="white">
        <a:xfrm>
          <a:off x="672968" y="1888861"/>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672968" y="1888861"/>
        <a:ext cx="1019322" cy="647270"/>
      </dsp:txXfrm>
    </dsp:sp>
    <dsp:sp modelId="{BCAB6C1A-4874-479E-BE31-FB9C0338B35D}">
      <dsp:nvSpPr>
        <dsp:cNvPr id="10" name="Rectángulo redondeado 9"/>
        <dsp:cNvSpPr/>
      </dsp:nvSpPr>
      <dsp:spPr bwMode="white">
        <a:xfrm>
          <a:off x="786226" y="1996456"/>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Administrador</a:t>
          </a:r>
          <a:endParaRPr>
            <a:solidFill>
              <a:schemeClr val="dk1"/>
            </a:solidFill>
          </a:endParaRPr>
        </a:p>
      </dsp:txBody>
      <dsp:txXfrm>
        <a:off x="786226" y="1996456"/>
        <a:ext cx="1019322" cy="647270"/>
      </dsp:txXfrm>
    </dsp:sp>
    <dsp:sp modelId="{2BED586E-4BD5-4C42-BFBC-9B94CD4F625F}">
      <dsp:nvSpPr>
        <dsp:cNvPr id="12" name="Rectángulo redondeado 11"/>
        <dsp:cNvSpPr/>
      </dsp:nvSpPr>
      <dsp:spPr bwMode="white">
        <a:xfrm>
          <a:off x="50049" y="2833150"/>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50049" y="2833150"/>
        <a:ext cx="1019322" cy="647270"/>
      </dsp:txXfrm>
    </dsp:sp>
    <dsp:sp modelId="{B3B9D116-3F36-40D1-BC27-840D65747BD8}">
      <dsp:nvSpPr>
        <dsp:cNvPr id="13" name="Rectángulo redondeado 12"/>
        <dsp:cNvSpPr/>
      </dsp:nvSpPr>
      <dsp:spPr bwMode="white">
        <a:xfrm>
          <a:off x="163307" y="2940745"/>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Gestor Cultural</a:t>
          </a:r>
          <a:endParaRPr>
            <a:solidFill>
              <a:schemeClr val="dk1"/>
            </a:solidFill>
          </a:endParaRPr>
        </a:p>
      </dsp:txBody>
      <dsp:txXfrm>
        <a:off x="163307" y="2940745"/>
        <a:ext cx="1019322" cy="647270"/>
      </dsp:txXfrm>
    </dsp:sp>
    <dsp:sp modelId="{2C423E01-46B6-44FE-AF74-6347BA377FE9}">
      <dsp:nvSpPr>
        <dsp:cNvPr id="15" name="Rectángulo redondeado 14"/>
        <dsp:cNvSpPr/>
      </dsp:nvSpPr>
      <dsp:spPr bwMode="white">
        <a:xfrm>
          <a:off x="50049" y="3777438"/>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50049" y="3777438"/>
        <a:ext cx="1019322" cy="647270"/>
      </dsp:txXfrm>
    </dsp:sp>
    <dsp:sp modelId="{F1DF5918-6119-4681-8EDF-D811ECFA270B}">
      <dsp:nvSpPr>
        <dsp:cNvPr id="16" name="Rectángulo redondeado 15"/>
        <dsp:cNvSpPr/>
      </dsp:nvSpPr>
      <dsp:spPr bwMode="white">
        <a:xfrm>
          <a:off x="163307" y="3885033"/>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Promotor Cultural</a:t>
          </a:r>
          <a:endParaRPr>
            <a:solidFill>
              <a:schemeClr val="dk1"/>
            </a:solidFill>
          </a:endParaRPr>
        </a:p>
      </dsp:txBody>
      <dsp:txXfrm>
        <a:off x="163307" y="3885033"/>
        <a:ext cx="1019322" cy="647270"/>
      </dsp:txXfrm>
    </dsp:sp>
    <dsp:sp modelId="{7E71DE84-3E02-4DB1-9A81-9F081CF81A8B}">
      <dsp:nvSpPr>
        <dsp:cNvPr id="18" name="Rectángulo redondeado 17"/>
        <dsp:cNvSpPr/>
      </dsp:nvSpPr>
      <dsp:spPr bwMode="white">
        <a:xfrm>
          <a:off x="50049" y="4721727"/>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50049" y="4721727"/>
        <a:ext cx="1019322" cy="647270"/>
      </dsp:txXfrm>
    </dsp:sp>
    <dsp:sp modelId="{ADEDFC0B-E81C-4AC8-BE36-DFC2627CD144}">
      <dsp:nvSpPr>
        <dsp:cNvPr id="19" name="Rectángulo redondeado 18"/>
        <dsp:cNvSpPr/>
      </dsp:nvSpPr>
      <dsp:spPr bwMode="white">
        <a:xfrm>
          <a:off x="163307" y="4829322"/>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Talleristas</a:t>
          </a:r>
          <a:endParaRPr>
            <a:solidFill>
              <a:schemeClr val="dk1"/>
            </a:solidFill>
          </a:endParaRPr>
        </a:p>
      </dsp:txBody>
      <dsp:txXfrm>
        <a:off x="163307" y="4829322"/>
        <a:ext cx="1019322" cy="647270"/>
      </dsp:txXfrm>
    </dsp:sp>
    <dsp:sp modelId="{0E9B8847-DE2C-4F76-8D70-2B65FC864F32}">
      <dsp:nvSpPr>
        <dsp:cNvPr id="21" name="Rectángulo redondeado 20"/>
        <dsp:cNvSpPr/>
      </dsp:nvSpPr>
      <dsp:spPr bwMode="white">
        <a:xfrm>
          <a:off x="1295887" y="2833150"/>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1295887" y="2833150"/>
        <a:ext cx="1019322" cy="647270"/>
      </dsp:txXfrm>
    </dsp:sp>
    <dsp:sp modelId="{81F54D53-FFE5-41EA-9B2E-2DC9948B8B01}">
      <dsp:nvSpPr>
        <dsp:cNvPr id="22" name="Rectángulo redondeado 21"/>
        <dsp:cNvSpPr/>
      </dsp:nvSpPr>
      <dsp:spPr bwMode="white">
        <a:xfrm>
          <a:off x="1409145" y="2940745"/>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Contador</a:t>
          </a:r>
          <a:endParaRPr>
            <a:solidFill>
              <a:schemeClr val="dk1"/>
            </a:solidFill>
          </a:endParaRPr>
        </a:p>
      </dsp:txBody>
      <dsp:txXfrm>
        <a:off x="1409145" y="2940745"/>
        <a:ext cx="1019322" cy="647270"/>
      </dsp:txXfrm>
    </dsp:sp>
    <dsp:sp modelId="{6F6BA783-426E-4974-BEF4-7EA8839D9231}">
      <dsp:nvSpPr>
        <dsp:cNvPr id="24" name="Rectángulo redondeado 23"/>
        <dsp:cNvSpPr/>
      </dsp:nvSpPr>
      <dsp:spPr bwMode="white">
        <a:xfrm>
          <a:off x="1295887" y="3777438"/>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1295887" y="3777438"/>
        <a:ext cx="1019322" cy="647270"/>
      </dsp:txXfrm>
    </dsp:sp>
    <dsp:sp modelId="{E77AB1E7-96D0-40B3-B54A-1926E3718D65}">
      <dsp:nvSpPr>
        <dsp:cNvPr id="25" name="Rectángulo redondeado 24"/>
        <dsp:cNvSpPr/>
      </dsp:nvSpPr>
      <dsp:spPr bwMode="white">
        <a:xfrm>
          <a:off x="1409145" y="3885033"/>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Auxiliar Administrativo</a:t>
          </a:r>
          <a:endParaRPr>
            <a:solidFill>
              <a:schemeClr val="dk1"/>
            </a:solidFill>
          </a:endParaRPr>
        </a:p>
      </dsp:txBody>
      <dsp:txXfrm>
        <a:off x="1409145" y="3885033"/>
        <a:ext cx="1019322" cy="647270"/>
      </dsp:txXfrm>
    </dsp:sp>
    <dsp:sp modelId="{AECA0082-2222-47BD-8A1F-4877B6BBA2CB}">
      <dsp:nvSpPr>
        <dsp:cNvPr id="27" name="Rectángulo redondeado 26"/>
        <dsp:cNvSpPr/>
      </dsp:nvSpPr>
      <dsp:spPr bwMode="white">
        <a:xfrm>
          <a:off x="1908185" y="1878233"/>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1908185" y="1878233"/>
        <a:ext cx="1019322" cy="647270"/>
      </dsp:txXfrm>
    </dsp:sp>
    <dsp:sp modelId="{D3DDCC20-3C1B-4ABE-8248-130189429720}">
      <dsp:nvSpPr>
        <dsp:cNvPr id="28" name="Rectángulo redondeado 27"/>
        <dsp:cNvSpPr/>
      </dsp:nvSpPr>
      <dsp:spPr bwMode="white">
        <a:xfrm>
          <a:off x="2021443" y="1985828"/>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Bibliotecarias</a:t>
          </a:r>
          <a:endParaRPr>
            <a:solidFill>
              <a:schemeClr val="dk1"/>
            </a:solidFill>
          </a:endParaRPr>
        </a:p>
      </dsp:txBody>
      <dsp:txXfrm>
        <a:off x="2021443" y="1985828"/>
        <a:ext cx="1019322" cy="647270"/>
      </dsp:txXfrm>
    </dsp:sp>
    <dsp:sp modelId="{DD16485F-F965-4CE9-80ED-EFFED3B210E3}">
      <dsp:nvSpPr>
        <dsp:cNvPr id="30" name="Rectángulo redondeado 29"/>
        <dsp:cNvSpPr/>
      </dsp:nvSpPr>
      <dsp:spPr bwMode="white">
        <a:xfrm>
          <a:off x="3164644" y="1888861"/>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3164644" y="1888861"/>
        <a:ext cx="1019322" cy="647270"/>
      </dsp:txXfrm>
    </dsp:sp>
    <dsp:sp modelId="{6E201A6D-DD16-4C5D-9229-132D9FFE90CE}">
      <dsp:nvSpPr>
        <dsp:cNvPr id="31" name="Rectángulo redondeado 30"/>
        <dsp:cNvSpPr/>
      </dsp:nvSpPr>
      <dsp:spPr bwMode="white">
        <a:xfrm>
          <a:off x="3277902" y="1996456"/>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Director </a:t>
          </a:r>
          <a:endParaRPr lang="es-MX">
            <a:solidFill>
              <a:schemeClr val="dk1"/>
            </a:solidFill>
          </a:endParaRPr>
        </a:p>
        <a:p>
          <a:pPr lvl="0">
            <a:lnSpc>
              <a:spcPct val="100000"/>
            </a:lnSpc>
            <a:spcBef>
              <a:spcPct val="0"/>
            </a:spcBef>
            <a:spcAft>
              <a:spcPct val="35000"/>
            </a:spcAft>
          </a:pPr>
          <a:r>
            <a:rPr lang="es-MX">
              <a:solidFill>
                <a:schemeClr val="dk1"/>
              </a:solidFill>
            </a:rPr>
            <a:t>Banda Sinfónica</a:t>
          </a:r>
          <a:endParaRPr>
            <a:solidFill>
              <a:schemeClr val="dk1"/>
            </a:solidFill>
          </a:endParaRPr>
        </a:p>
      </dsp:txBody>
      <dsp:txXfrm>
        <a:off x="3277902" y="1996456"/>
        <a:ext cx="1019322" cy="647270"/>
      </dsp:txXfrm>
    </dsp:sp>
    <dsp:sp modelId="{3F2F5626-8EA9-433C-97BA-8AB9400958F0}">
      <dsp:nvSpPr>
        <dsp:cNvPr id="33" name="Rectángulo redondeado 32"/>
        <dsp:cNvSpPr/>
      </dsp:nvSpPr>
      <dsp:spPr bwMode="white">
        <a:xfrm>
          <a:off x="2541725" y="2833150"/>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2541725" y="2833150"/>
        <a:ext cx="1019322" cy="647270"/>
      </dsp:txXfrm>
    </dsp:sp>
    <dsp:sp modelId="{FBFFF406-E97C-40C6-87EF-4A66318BF1AA}">
      <dsp:nvSpPr>
        <dsp:cNvPr id="34" name="Rectángulo redondeado 33"/>
        <dsp:cNvSpPr/>
      </dsp:nvSpPr>
      <dsp:spPr bwMode="white">
        <a:xfrm>
          <a:off x="2654983" y="2940745"/>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Musicos</a:t>
          </a:r>
          <a:endParaRPr>
            <a:solidFill>
              <a:schemeClr val="dk1"/>
            </a:solidFill>
          </a:endParaRPr>
        </a:p>
      </dsp:txBody>
      <dsp:txXfrm>
        <a:off x="2654983" y="2940745"/>
        <a:ext cx="1019322" cy="647270"/>
      </dsp:txXfrm>
    </dsp:sp>
    <dsp:sp modelId="{5E14E041-1A66-4D11-B964-85F86EF1D021}">
      <dsp:nvSpPr>
        <dsp:cNvPr id="36" name="Rectángulo redondeado 35"/>
        <dsp:cNvSpPr/>
      </dsp:nvSpPr>
      <dsp:spPr bwMode="white">
        <a:xfrm>
          <a:off x="3787564" y="2833150"/>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3787564" y="2833150"/>
        <a:ext cx="1019322" cy="647270"/>
      </dsp:txXfrm>
    </dsp:sp>
    <dsp:sp modelId="{51F0D6C9-2F69-444C-A73D-4191DE864396}">
      <dsp:nvSpPr>
        <dsp:cNvPr id="37" name="Rectángulo redondeado 36"/>
        <dsp:cNvSpPr/>
      </dsp:nvSpPr>
      <dsp:spPr bwMode="white">
        <a:xfrm>
          <a:off x="3900822" y="2940745"/>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Auxiliares</a:t>
          </a:r>
          <a:endParaRPr>
            <a:solidFill>
              <a:schemeClr val="dk1"/>
            </a:solidFill>
          </a:endParaRPr>
        </a:p>
      </dsp:txBody>
      <dsp:txXfrm>
        <a:off x="3900822" y="2940745"/>
        <a:ext cx="1019322" cy="647270"/>
      </dsp:txXfrm>
    </dsp:sp>
    <dsp:sp modelId="{6C649C2B-103A-45B0-BA13-D9A25ACFEBB8}">
      <dsp:nvSpPr>
        <dsp:cNvPr id="39" name="Rectángulo redondeado 38"/>
        <dsp:cNvSpPr/>
      </dsp:nvSpPr>
      <dsp:spPr bwMode="white">
        <a:xfrm>
          <a:off x="4410483" y="1888861"/>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4410483" y="1888861"/>
        <a:ext cx="1019322" cy="647270"/>
      </dsp:txXfrm>
    </dsp:sp>
    <dsp:sp modelId="{37FFF05D-13A6-4B78-ABE3-93DB80958BE1}">
      <dsp:nvSpPr>
        <dsp:cNvPr id="40" name="Rectángulo redondeado 39"/>
        <dsp:cNvSpPr/>
      </dsp:nvSpPr>
      <dsp:spPr bwMode="white">
        <a:xfrm>
          <a:off x="4523741" y="1996456"/>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Auxiliares Operativos</a:t>
          </a:r>
          <a:endParaRPr>
            <a:solidFill>
              <a:schemeClr val="dk1"/>
            </a:solidFill>
          </a:endParaRPr>
        </a:p>
      </dsp:txBody>
      <dsp:txXfrm>
        <a:off x="4523741" y="1996456"/>
        <a:ext cx="1019322" cy="647270"/>
      </dsp:txXfrm>
    </dsp:sp>
    <dsp:sp modelId="{439397D0-61FC-493F-912E-7A832B008BD2}">
      <dsp:nvSpPr>
        <dsp:cNvPr id="42" name="Rectángulo redondeado 41"/>
        <dsp:cNvSpPr/>
      </dsp:nvSpPr>
      <dsp:spPr bwMode="white">
        <a:xfrm>
          <a:off x="5656321" y="1888861"/>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5656321" y="1888861"/>
        <a:ext cx="1019322" cy="647270"/>
      </dsp:txXfrm>
    </dsp:sp>
    <dsp:sp modelId="{6728728C-1D7E-49DA-9FD7-935611150CEC}">
      <dsp:nvSpPr>
        <dsp:cNvPr id="43" name="Rectángulo redondeado 42"/>
        <dsp:cNvSpPr/>
      </dsp:nvSpPr>
      <dsp:spPr bwMode="white">
        <a:xfrm>
          <a:off x="5769579" y="1996456"/>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Intendentes</a:t>
          </a:r>
          <a:endParaRPr>
            <a:solidFill>
              <a:schemeClr val="dk1"/>
            </a:solidFill>
          </a:endParaRPr>
        </a:p>
      </dsp:txBody>
      <dsp:txXfrm>
        <a:off x="5769579" y="1996456"/>
        <a:ext cx="1019322" cy="647270"/>
      </dsp:txXfrm>
    </dsp:sp>
    <dsp:sp modelId="{B10C470E-1754-48D7-B2B2-266A6A1B2955}">
      <dsp:nvSpPr>
        <dsp:cNvPr id="45" name="Rectángulo redondeado 44"/>
        <dsp:cNvSpPr/>
      </dsp:nvSpPr>
      <dsp:spPr bwMode="white">
        <a:xfrm>
          <a:off x="4410483" y="944572"/>
          <a:ext cx="1019322" cy="64727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Xfrm>
        <a:off x="4410483" y="944572"/>
        <a:ext cx="1019322" cy="647270"/>
      </dsp:txXfrm>
    </dsp:sp>
    <dsp:sp modelId="{5F8A627A-50F1-489F-9389-C7A2964CD312}">
      <dsp:nvSpPr>
        <dsp:cNvPr id="46" name="Rectángulo redondeado 45"/>
        <dsp:cNvSpPr/>
      </dsp:nvSpPr>
      <dsp:spPr bwMode="white">
        <a:xfrm>
          <a:off x="4523741" y="1052167"/>
          <a:ext cx="1019322" cy="64727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s-MX">
              <a:solidFill>
                <a:schemeClr val="dk1"/>
              </a:solidFill>
            </a:rPr>
            <a:t>Consejo Directivo</a:t>
          </a:r>
          <a:endParaRPr>
            <a:solidFill>
              <a:schemeClr val="dk1"/>
            </a:solidFill>
          </a:endParaRPr>
        </a:p>
      </dsp:txBody>
      <dsp:txXfrm>
        <a:off x="4523741" y="1052167"/>
        <a:ext cx="1019322" cy="6472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9A76F-91F0-43D2-8081-B4DC470C2F6F}">
  <ds:schemaRefs/>
</ds:datastoreItem>
</file>

<file path=customXml/itemProps3.xml><?xml version="1.0" encoding="utf-8"?>
<ds:datastoreItem xmlns:ds="http://schemas.openxmlformats.org/officeDocument/2006/customXml" ds:itemID="{E1CBD850-722C-4B0A-8EDE-7CABA60C709E}">
  <ds:schemaRefs/>
</ds:datastoreItem>
</file>

<file path=customXml/itemProps4.xml><?xml version="1.0" encoding="utf-8"?>
<ds:datastoreItem xmlns:ds="http://schemas.openxmlformats.org/officeDocument/2006/customXml" ds:itemID="{F602599E-C54E-40EB-B3BD-41B2F70A96F3}">
  <ds:schemaRefs/>
</ds:datastoreItem>
</file>

<file path=customXml/itemProps5.xml><?xml version="1.0" encoding="utf-8"?>
<ds:datastoreItem xmlns:ds="http://schemas.openxmlformats.org/officeDocument/2006/customXml" ds:itemID="{801D4F59-B124-4947-89CF-0C99C0CFD16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Pages>
  <Words>1814</Words>
  <Characters>9983</Characters>
  <Lines>83</Lines>
  <Paragraphs>23</Paragraphs>
  <TotalTime>23</TotalTime>
  <ScaleCrop>false</ScaleCrop>
  <LinksUpToDate>false</LinksUpToDate>
  <CharactersWithSpaces>11774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2017-01-12T05:27:00Z</dcterms:created>
  <dc:creator>acorona</dc:creator>
  <cp:lastModifiedBy>USERCC1</cp:lastModifiedBy>
  <cp:lastPrinted>2023-05-02T19:02:38Z</cp:lastPrinted>
  <dcterms:modified xsi:type="dcterms:W3CDTF">2023-05-02T19:12:24Z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y fmtid="{D5CDD505-2E9C-101B-9397-08002B2CF9AE}" pid="3" name="KSOProductBuildVer">
    <vt:lpwstr>2058-11.2.0.11537</vt:lpwstr>
  </property>
  <property fmtid="{D5CDD505-2E9C-101B-9397-08002B2CF9AE}" pid="4" name="ICV">
    <vt:lpwstr>BCAEDEA3324949EE9E809E63F7044B45</vt:lpwstr>
  </property>
</Properties>
</file>