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E9C" w:rsidRDefault="0030552A">
      <w:pPr>
        <w:spacing w:after="0" w:line="259" w:lineRule="auto"/>
        <w:ind w:left="54" w:firstLine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6E9C" w:rsidRDefault="0030552A">
      <w:pPr>
        <w:spacing w:after="26" w:line="259" w:lineRule="auto"/>
        <w:ind w:left="54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6E9C" w:rsidRDefault="0030552A">
      <w:pPr>
        <w:spacing w:after="0" w:line="259" w:lineRule="auto"/>
        <w:ind w:left="0" w:right="1" w:firstLine="0"/>
        <w:jc w:val="center"/>
      </w:pPr>
      <w:r>
        <w:rPr>
          <w:b/>
          <w:color w:val="0000FF"/>
          <w:sz w:val="28"/>
          <w:u w:val="single" w:color="0000FF"/>
        </w:rPr>
        <w:t>NOTAS DE GESTIÓN ADMINISTRATIVA</w:t>
      </w:r>
      <w:r>
        <w:rPr>
          <w:b/>
          <w:sz w:val="28"/>
        </w:rP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Los Estados Financieros de los entes públicos, proveen de información financiera a los principales usuarios de la misma, al Congreso y a los Ciudadanos.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El objetivo del presente documento es la revelación del contexto y de los aspectos económicos - financieros más relevantes que influyeron en las decisiones del período, y que deberán ser considerados en la elaboración de los estados financieros para la may</w:t>
      </w:r>
      <w:r>
        <w:t xml:space="preserve">or comprensión de los mismos y sus particularidades.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De esta manera, se informa y explica la respuesta del gobierno a las condiciones relacionadas con la información financiera de cada período de gestión; además, de exponer aquellas políticas que podr</w:t>
      </w:r>
      <w:r>
        <w:t xml:space="preserve">ían afectar la toma de decisiones en períodos posteriores. </w:t>
      </w:r>
    </w:p>
    <w:p w:rsidR="00A66E9C" w:rsidRDefault="0030552A">
      <w:pPr>
        <w:spacing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ind w:left="370"/>
      </w:pPr>
      <w:r>
        <w:rPr>
          <w:rFonts w:ascii="Wingdings" w:eastAsia="Wingdings" w:hAnsi="Wingdings" w:cs="Wingdings"/>
        </w:rPr>
        <w:t></w:t>
      </w:r>
      <w:r>
        <w:rPr>
          <w:rFonts w:ascii="Arial" w:eastAsia="Arial" w:hAnsi="Arial" w:cs="Arial"/>
        </w:rPr>
        <w:t xml:space="preserve"> </w:t>
      </w:r>
      <w:r>
        <w:t xml:space="preserve">Las notas de gestión administrativa deben contener los siguientes puntos: </w:t>
      </w:r>
    </w:p>
    <w:p w:rsidR="00A66E9C" w:rsidRDefault="0030552A">
      <w:pPr>
        <w:spacing w:after="314" w:line="259" w:lineRule="auto"/>
        <w:ind w:left="0" w:firstLine="0"/>
        <w:jc w:val="left"/>
      </w:pPr>
      <w:r>
        <w:t xml:space="preserve"> </w:t>
      </w:r>
    </w:p>
    <w:sdt>
      <w:sdtPr>
        <w:id w:val="1614024162"/>
        <w:docPartObj>
          <w:docPartGallery w:val="Table of Contents"/>
        </w:docPartObj>
      </w:sdtPr>
      <w:sdtEndPr/>
      <w:sdtContent>
        <w:p w:rsidR="00A66E9C" w:rsidRDefault="0030552A">
          <w:pPr>
            <w:pStyle w:val="TDC1"/>
            <w:tabs>
              <w:tab w:val="right" w:leader="dot" w:pos="9694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1431">
            <w:r>
              <w:rPr>
                <w:color w:val="2E74B5"/>
                <w:sz w:val="32"/>
              </w:rPr>
              <w:t xml:space="preserve">Contenido </w:t>
            </w:r>
            <w:r>
              <w:t>1. Introducción:</w:t>
            </w:r>
            <w:r>
              <w:tab/>
            </w:r>
            <w:r>
              <w:fldChar w:fldCharType="begin"/>
            </w:r>
            <w:r>
              <w:instrText>PAGEREF _Toc11431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2">
            <w:r>
              <w:t>2. Describir el panorama Económico y Financiero:</w:t>
            </w:r>
            <w:r>
              <w:tab/>
            </w:r>
            <w:r>
              <w:fldChar w:fldCharType="begin"/>
            </w:r>
            <w:r>
              <w:instrText>PAGEREF _Toc11432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3">
            <w:r>
              <w:t>3. Autorización e Historia:</w:t>
            </w:r>
            <w:r>
              <w:tab/>
            </w:r>
            <w:r>
              <w:fldChar w:fldCharType="begin"/>
            </w:r>
            <w:r>
              <w:instrText>PAGEREF _Toc11433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4">
            <w:r>
              <w:t>4. Organización y Objeto Social:</w:t>
            </w:r>
            <w:r>
              <w:tab/>
            </w:r>
            <w:r>
              <w:fldChar w:fldCharType="begin"/>
            </w:r>
            <w:r>
              <w:instrText>PAGEREF _Toc11434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5">
            <w:r>
              <w:t>5. Bases de</w:t>
            </w:r>
            <w:r>
              <w:t xml:space="preserve"> Preparación de los Estados Financieros:</w:t>
            </w:r>
            <w:r>
              <w:tab/>
            </w:r>
            <w:r>
              <w:fldChar w:fldCharType="begin"/>
            </w:r>
            <w:r>
              <w:instrText>PAGEREF _Toc11435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6">
            <w:r>
              <w:t>6. Políticas de Contabilidad Significativas:</w:t>
            </w:r>
            <w:r>
              <w:tab/>
            </w:r>
            <w:r>
              <w:fldChar w:fldCharType="begin"/>
            </w:r>
            <w:r>
              <w:instrText>PAGEREF _Toc11436 \h</w:instrText>
            </w:r>
            <w:r>
              <w:fldChar w:fldCharType="separate"/>
            </w:r>
            <w:r>
              <w:t xml:space="preserve">4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7">
            <w:r>
              <w:t>7. Posición en Moneda Extranjera y Protección por Riesgo Cambiario:</w:t>
            </w:r>
            <w:r>
              <w:tab/>
            </w:r>
            <w:r>
              <w:fldChar w:fldCharType="begin"/>
            </w:r>
            <w:r>
              <w:instrText>PAGEREF _Toc11437 \h</w:instrText>
            </w:r>
            <w:r>
              <w:fldChar w:fldCharType="separate"/>
            </w:r>
            <w:r>
              <w:t xml:space="preserve">5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8">
            <w:r>
              <w:t xml:space="preserve">8. </w:t>
            </w:r>
            <w:r>
              <w:t>Reporte Analítico del Activo:</w:t>
            </w:r>
            <w:r>
              <w:tab/>
            </w:r>
            <w:r>
              <w:fldChar w:fldCharType="begin"/>
            </w:r>
            <w:r>
              <w:instrText>PAGEREF _Toc11438 \h</w:instrText>
            </w:r>
            <w:r>
              <w:fldChar w:fldCharType="separate"/>
            </w:r>
            <w:r>
              <w:t xml:space="preserve">6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39">
            <w:r>
              <w:t>9. Fideicomisos, Mandatos y Análogos:</w:t>
            </w:r>
            <w:r>
              <w:tab/>
            </w:r>
            <w:r>
              <w:fldChar w:fldCharType="begin"/>
            </w:r>
            <w:r>
              <w:instrText>PAGEREF _Toc11439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0">
            <w:r>
              <w:t>10. Reporte de la Recaudación:</w:t>
            </w:r>
            <w:r>
              <w:tab/>
            </w:r>
            <w:r>
              <w:fldChar w:fldCharType="begin"/>
            </w:r>
            <w:r>
              <w:instrText>PAGEREF _Toc11440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1">
            <w:r>
              <w:t xml:space="preserve">11. Información sobre la Deuda y el Reporte Analítico de </w:t>
            </w:r>
            <w:r>
              <w:t>la Deuda:</w:t>
            </w:r>
            <w:r>
              <w:tab/>
            </w:r>
            <w:r>
              <w:fldChar w:fldCharType="begin"/>
            </w:r>
            <w:r>
              <w:instrText>PAGEREF _Toc11441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2">
            <w:r>
              <w:t>12. Calificaciones otorgadas:</w:t>
            </w:r>
            <w:r>
              <w:tab/>
            </w:r>
            <w:r>
              <w:fldChar w:fldCharType="begin"/>
            </w:r>
            <w:r>
              <w:instrText>PAGEREF _Toc11442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3">
            <w:r>
              <w:t>13. Proceso de Mejora:</w:t>
            </w:r>
            <w:r>
              <w:tab/>
            </w:r>
            <w:r>
              <w:fldChar w:fldCharType="begin"/>
            </w:r>
            <w:r>
              <w:instrText>PAGEREF _Toc11443 \h</w:instrText>
            </w:r>
            <w:r>
              <w:fldChar w:fldCharType="separate"/>
            </w:r>
            <w:r>
              <w:t xml:space="preserve">7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4">
            <w:r>
              <w:t>14. Información por S</w:t>
            </w:r>
            <w:r>
              <w:t>egmentos:</w:t>
            </w:r>
            <w:r>
              <w:tab/>
            </w:r>
            <w:r>
              <w:fldChar w:fldCharType="begin"/>
            </w:r>
            <w:r>
              <w:instrText>PAGEREF _Toc11444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5">
            <w:r>
              <w:t>15. Eventos Posteriores al Cierre:</w:t>
            </w:r>
            <w:r>
              <w:tab/>
            </w:r>
            <w:r>
              <w:fldChar w:fldCharType="begin"/>
            </w:r>
            <w:r>
              <w:instrText>PAGEREF _Toc11445 \h</w:instrText>
            </w:r>
            <w:r>
              <w:fldChar w:fldCharType="separate"/>
            </w:r>
            <w:r>
              <w:t xml:space="preserve">8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6">
            <w:r>
              <w:t>16. Partes Relacionadas:</w:t>
            </w:r>
            <w:r>
              <w:tab/>
            </w:r>
            <w:r>
              <w:fldChar w:fldCharType="begin"/>
            </w:r>
            <w:r>
              <w:instrText>PAGEREF _Toc11446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A66E9C" w:rsidRDefault="0030552A">
          <w:pPr>
            <w:pStyle w:val="TDC2"/>
            <w:tabs>
              <w:tab w:val="right" w:leader="dot" w:pos="9694"/>
            </w:tabs>
          </w:pPr>
          <w:hyperlink w:anchor="_Toc11447">
            <w:r>
              <w:t>17. Responsabilidad Sobre la Presentación Razonable de la Información Contable:</w:t>
            </w:r>
            <w:r>
              <w:tab/>
            </w:r>
            <w:r>
              <w:fldChar w:fldCharType="begin"/>
            </w:r>
            <w:r>
              <w:instrText>PAGER</w:instrText>
            </w:r>
            <w:r>
              <w:instrText>EF _Toc11447 \h</w:instrText>
            </w:r>
            <w:r>
              <w:fldChar w:fldCharType="separate"/>
            </w:r>
            <w:r>
              <w:t xml:space="preserve">9 </w:t>
            </w:r>
            <w:r>
              <w:fldChar w:fldCharType="end"/>
            </w:r>
          </w:hyperlink>
        </w:p>
        <w:p w:rsidR="00A66E9C" w:rsidRDefault="0030552A">
          <w:r>
            <w:fldChar w:fldCharType="end"/>
          </w:r>
        </w:p>
      </w:sdtContent>
    </w:sdt>
    <w:p w:rsidR="00A66E9C" w:rsidRDefault="0030552A">
      <w:pPr>
        <w:spacing w:after="215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9" w:line="267" w:lineRule="auto"/>
        <w:ind w:left="-5"/>
        <w:jc w:val="left"/>
      </w:pPr>
      <w:r>
        <w:rPr>
          <w:b/>
        </w:rPr>
        <w:t xml:space="preserve">1. Introducción: </w:t>
      </w:r>
    </w:p>
    <w:p w:rsidR="00A66E9C" w:rsidRDefault="0030552A">
      <w:pPr>
        <w:ind w:left="-5"/>
      </w:pPr>
      <w:r>
        <w:t xml:space="preserve">Breve descripción de las actividades principales de la entidad.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La comisión municipal del deporte de Santa Cruz de Juventino Rosas, tiene la finalidad promover e impulsar la práctica del deporte en nuestro municipio mediante programas municipales, estatales y federales, con el fin de contribuir al desarrollo sostenible</w:t>
      </w:r>
      <w:r>
        <w:t xml:space="preserve"> y bienestar integral de los Santacrucenses.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" w:name="_Toc11432"/>
      <w:r>
        <w:t xml:space="preserve">2. Describir el panorama Económico y Financiero: </w:t>
      </w:r>
      <w:bookmarkEnd w:id="1"/>
    </w:p>
    <w:p w:rsidR="00A66E9C" w:rsidRDefault="0030552A">
      <w:pPr>
        <w:ind w:left="-5"/>
      </w:pPr>
      <w:r>
        <w:t>Se informará sobre las principales condiciones económico-financieras bajo las cuales el ente público estuvo operando; y las cuales influyeron en la toma de de</w:t>
      </w:r>
      <w:r>
        <w:t xml:space="preserve">cisiones de la Administración Pública Municipal.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Se recibe un subsidio mensual por parte del Municipio de Santa Cruz de Juventino Rosas, Gto., para llevar a cabo las actividades deportivas y recreativas, así como el ingreso propio que genera el ente po</w:t>
      </w:r>
      <w:r>
        <w:t xml:space="preserve">r actividades propias.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2" w:name="_Toc11433"/>
      <w:r>
        <w:t xml:space="preserve">3. Autorización e Historia: </w:t>
      </w:r>
      <w:bookmarkEnd w:id="2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Se informará sobre: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1"/>
        </w:numPr>
        <w:ind w:hanging="238"/>
      </w:pPr>
      <w:r>
        <w:t xml:space="preserve">Fecha de creación del ente: 04 de diciembre del 2004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1"/>
        </w:numPr>
        <w:ind w:hanging="238"/>
      </w:pPr>
      <w:r>
        <w:t xml:space="preserve">Principales cambios en su estructura (interna históricamente).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3" w:name="_Toc11434"/>
      <w:r>
        <w:t xml:space="preserve">4. Organización y Objeto Social: </w:t>
      </w:r>
      <w:bookmarkEnd w:id="3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Se informará sobre</w:t>
      </w:r>
      <w:r>
        <w:t xml:space="preserve">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2"/>
        </w:numPr>
        <w:ind w:hanging="228"/>
      </w:pPr>
      <w:r>
        <w:t xml:space="preserve">Objeto social. </w:t>
      </w:r>
    </w:p>
    <w:p w:rsidR="00A66E9C" w:rsidRDefault="0030552A">
      <w:pPr>
        <w:ind w:left="-5"/>
      </w:pPr>
      <w:r>
        <w:t xml:space="preserve">Promover las actividades físicas y recreativas en la ciudadanía santacrucense.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2"/>
        </w:numPr>
        <w:ind w:hanging="228"/>
      </w:pPr>
      <w:r>
        <w:t xml:space="preserve">Principal actividad. Recreación y deporte.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 </w:t>
      </w:r>
    </w:p>
    <w:p w:rsidR="00A66E9C" w:rsidRDefault="0030552A">
      <w:pPr>
        <w:numPr>
          <w:ilvl w:val="0"/>
          <w:numId w:val="2"/>
        </w:numPr>
        <w:ind w:hanging="228"/>
      </w:pPr>
      <w:r>
        <w:t xml:space="preserve">Ejercicio fiscal: </w:t>
      </w:r>
    </w:p>
    <w:p w:rsidR="00A66E9C" w:rsidRDefault="0030552A">
      <w:pPr>
        <w:ind w:left="-5"/>
      </w:pPr>
      <w:r>
        <w:t xml:space="preserve">01 de enero al 31 de diciembre del 2025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3"/>
        </w:numPr>
        <w:ind w:hanging="238"/>
      </w:pPr>
      <w:r>
        <w:t xml:space="preserve">Régimen jurídico: </w:t>
      </w:r>
    </w:p>
    <w:p w:rsidR="00A66E9C" w:rsidRDefault="0030552A">
      <w:pPr>
        <w:ind w:left="-5"/>
      </w:pPr>
      <w:r>
        <w:t xml:space="preserve">Personas Morales con </w:t>
      </w:r>
      <w:r>
        <w:t xml:space="preserve">fines no lucrativos.  </w:t>
      </w:r>
    </w:p>
    <w:p w:rsidR="00A66E9C" w:rsidRDefault="0030552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A66E9C" w:rsidRDefault="0030552A">
      <w:pPr>
        <w:numPr>
          <w:ilvl w:val="0"/>
          <w:numId w:val="3"/>
        </w:numPr>
        <w:ind w:hanging="238"/>
      </w:pPr>
      <w:r>
        <w:t xml:space="preserve">Consideraciones fiscales del ente: Revelar el tipo de contribuciones que esté obligado a pagar o retener. </w:t>
      </w:r>
    </w:p>
    <w:p w:rsidR="00A66E9C" w:rsidRDefault="0030552A">
      <w:pPr>
        <w:spacing w:after="24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1"/>
          <w:numId w:val="3"/>
        </w:numPr>
        <w:ind w:hanging="360"/>
      </w:pPr>
      <w:r>
        <w:t xml:space="preserve">Impuesto cedular de nominas </w:t>
      </w:r>
    </w:p>
    <w:p w:rsidR="00A66E9C" w:rsidRDefault="0030552A">
      <w:pPr>
        <w:numPr>
          <w:ilvl w:val="1"/>
          <w:numId w:val="3"/>
        </w:numPr>
        <w:ind w:hanging="360"/>
      </w:pPr>
      <w:r>
        <w:t xml:space="preserve">Seguridad social </w:t>
      </w:r>
    </w:p>
    <w:p w:rsidR="00A66E9C" w:rsidRDefault="0030552A">
      <w:pPr>
        <w:numPr>
          <w:ilvl w:val="1"/>
          <w:numId w:val="3"/>
        </w:numPr>
        <w:ind w:hanging="360"/>
      </w:pPr>
      <w:r>
        <w:t xml:space="preserve">Retenciones de sueldos y salarios </w:t>
      </w:r>
    </w:p>
    <w:p w:rsidR="00A66E9C" w:rsidRDefault="0030552A">
      <w:pPr>
        <w:numPr>
          <w:ilvl w:val="1"/>
          <w:numId w:val="3"/>
        </w:numPr>
        <w:ind w:hanging="360"/>
      </w:pPr>
      <w:r>
        <w:t xml:space="preserve">Infonavit </w:t>
      </w:r>
    </w:p>
    <w:p w:rsidR="00A66E9C" w:rsidRDefault="0030552A">
      <w:pPr>
        <w:numPr>
          <w:ilvl w:val="1"/>
          <w:numId w:val="3"/>
        </w:numPr>
        <w:ind w:hanging="360"/>
      </w:pPr>
      <w:r>
        <w:t xml:space="preserve">Retenciones de IVA e ISR </w:t>
      </w:r>
    </w:p>
    <w:p w:rsidR="00A66E9C" w:rsidRDefault="0030552A">
      <w:pPr>
        <w:spacing w:after="0"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3"/>
        </w:numPr>
        <w:ind w:hanging="238"/>
      </w:pPr>
      <w:r>
        <w:t xml:space="preserve">Estructura organizacional básica. </w:t>
      </w:r>
    </w:p>
    <w:p w:rsidR="00A66E9C" w:rsidRDefault="0030552A">
      <w:pPr>
        <w:ind w:left="718"/>
      </w:pPr>
      <w:r>
        <w:t xml:space="preserve">*Anexar organigrama de la entidad. (Se anexa al final)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3"/>
        </w:numPr>
        <w:ind w:hanging="238"/>
      </w:pPr>
      <w:r>
        <w:t xml:space="preserve">Fideicomisos, mandatos y análogos de los cuales es fideicomitente o fideicomisario. </w:t>
      </w:r>
      <w:r>
        <w:rPr>
          <w:sz w:val="24"/>
        </w:rPr>
        <w:t>Esta nota no le aplica al ente público</w:t>
      </w:r>
      <w:r>
        <w:t xml:space="preserve"> </w:t>
      </w:r>
    </w:p>
    <w:p w:rsidR="00A66E9C" w:rsidRDefault="0030552A">
      <w:pPr>
        <w:spacing w:after="57" w:line="259" w:lineRule="auto"/>
        <w:ind w:left="0" w:firstLine="0"/>
        <w:jc w:val="left"/>
      </w:pPr>
      <w:r>
        <w:rPr>
          <w:b/>
        </w:rPr>
        <w:t xml:space="preserve"> </w:t>
      </w:r>
    </w:p>
    <w:p w:rsidR="00A66E9C" w:rsidRDefault="0030552A">
      <w:pPr>
        <w:pStyle w:val="Ttulo2"/>
        <w:ind w:left="-5" w:right="4769"/>
      </w:pPr>
      <w:bookmarkStart w:id="4" w:name="_Toc11435"/>
      <w:r>
        <w:t>5. Bases de Preparación de los Estado</w:t>
      </w:r>
      <w:r>
        <w:t xml:space="preserve">s Financieros: </w:t>
      </w:r>
      <w:bookmarkEnd w:id="4"/>
    </w:p>
    <w:p w:rsidR="00A66E9C" w:rsidRDefault="0030552A">
      <w:pPr>
        <w:spacing w:after="9" w:line="267" w:lineRule="auto"/>
        <w:ind w:left="-5" w:right="4769"/>
        <w:jc w:val="left"/>
      </w:pPr>
      <w:r>
        <w:t xml:space="preserve">Se informará sobre: </w:t>
      </w:r>
    </w:p>
    <w:p w:rsidR="00A66E9C" w:rsidRDefault="0030552A">
      <w:pPr>
        <w:spacing w:after="12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4"/>
        </w:numPr>
        <w:ind w:hanging="360"/>
      </w:pPr>
      <w:r>
        <w:t xml:space="preserve">Si se ha observado la normatividad emitida por el CONAC y las disposiciones legales aplicables. </w:t>
      </w:r>
    </w:p>
    <w:p w:rsidR="00A66E9C" w:rsidRDefault="0030552A">
      <w:pPr>
        <w:spacing w:after="0"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               Se aplica la normatividad vigente. </w:t>
      </w:r>
    </w:p>
    <w:p w:rsidR="00A66E9C" w:rsidRDefault="0030552A">
      <w:pPr>
        <w:spacing w:after="12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4"/>
        </w:numPr>
        <w:ind w:hanging="360"/>
      </w:pPr>
      <w:r>
        <w:t xml:space="preserve">La normatividad aplicada para el reconocimiento, valuación y revelación de los diferentes rubros de la información financiera, así como las bases de medición utilizadas para la elaboración de los estados financieros; por ejemplo: costo histórico, valor de </w:t>
      </w:r>
      <w:r>
        <w:t xml:space="preserve">realización, valor razonable, valor de recuperación o cualquier otro método empleado y los criterios de aplicación de los mismos. </w:t>
      </w:r>
    </w:p>
    <w:p w:rsidR="00A66E9C" w:rsidRDefault="0030552A">
      <w:pPr>
        <w:spacing w:after="0"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                Costos históricos. </w:t>
      </w:r>
    </w:p>
    <w:p w:rsidR="00A66E9C" w:rsidRDefault="0030552A">
      <w:pPr>
        <w:spacing w:after="12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4"/>
        </w:numPr>
        <w:ind w:hanging="360"/>
      </w:pPr>
      <w:r>
        <w:t xml:space="preserve">Postulados básicos de las Normas de Información Financiera (NIF) 2024, las cuales </w:t>
      </w:r>
      <w:r>
        <w:t xml:space="preserve">son los lineamientos que regulan la presentación y elaboración de los estados financieros, incorporan cambios y precisiones con la finalidad de establecer un planteamiento normativo adecuado.  Incluyendo lo siguiente: </w:t>
      </w:r>
    </w:p>
    <w:p w:rsidR="00A66E9C" w:rsidRDefault="0030552A">
      <w:pPr>
        <w:spacing w:after="0" w:line="259" w:lineRule="auto"/>
        <w:ind w:left="360" w:firstLine="0"/>
        <w:jc w:val="left"/>
      </w:pPr>
      <w:r>
        <w:t xml:space="preserve">  </w:t>
      </w:r>
    </w:p>
    <w:p w:rsidR="00A66E9C" w:rsidRDefault="0030552A">
      <w:pPr>
        <w:numPr>
          <w:ilvl w:val="1"/>
          <w:numId w:val="4"/>
        </w:numPr>
        <w:spacing w:after="151" w:line="267" w:lineRule="auto"/>
        <w:ind w:hanging="240"/>
        <w:jc w:val="left"/>
      </w:pPr>
      <w:r>
        <w:rPr>
          <w:b/>
        </w:rPr>
        <w:t>Sustancia económica</w:t>
      </w:r>
      <w:r>
        <w:t xml:space="preserve"> </w:t>
      </w:r>
    </w:p>
    <w:p w:rsidR="00A66E9C" w:rsidRDefault="0030552A">
      <w:pPr>
        <w:spacing w:after="168"/>
        <w:ind w:left="-5"/>
      </w:pPr>
      <w:r>
        <w:t xml:space="preserve">Se centra en </w:t>
      </w:r>
      <w:r>
        <w:t xml:space="preserve">la esencia del negocio, reconociendo las transacciones que afectan a la organización.  </w:t>
      </w:r>
    </w:p>
    <w:p w:rsidR="00A66E9C" w:rsidRDefault="0030552A">
      <w:pPr>
        <w:numPr>
          <w:ilvl w:val="1"/>
          <w:numId w:val="4"/>
        </w:numPr>
        <w:spacing w:after="153" w:line="267" w:lineRule="auto"/>
        <w:ind w:hanging="240"/>
        <w:jc w:val="left"/>
      </w:pPr>
      <w:r>
        <w:rPr>
          <w:b/>
        </w:rPr>
        <w:t>Delegación contable</w:t>
      </w:r>
      <w:r>
        <w:t xml:space="preserve"> </w:t>
      </w:r>
    </w:p>
    <w:p w:rsidR="00A66E9C" w:rsidRDefault="0030552A">
      <w:pPr>
        <w:spacing w:after="168"/>
        <w:ind w:left="-5"/>
      </w:pPr>
      <w:r>
        <w:t>Los efectos de las transacciones, transformaciones internas y otros eventos deben reconocerse contablemente en su totalidad, en el momento en que o</w:t>
      </w:r>
      <w:r>
        <w:t xml:space="preserve">curren.  </w:t>
      </w:r>
    </w:p>
    <w:p w:rsidR="00A66E9C" w:rsidRDefault="0030552A">
      <w:pPr>
        <w:numPr>
          <w:ilvl w:val="1"/>
          <w:numId w:val="4"/>
        </w:numPr>
        <w:spacing w:after="153" w:line="267" w:lineRule="auto"/>
        <w:ind w:hanging="240"/>
        <w:jc w:val="left"/>
      </w:pPr>
      <w:r>
        <w:rPr>
          <w:b/>
        </w:rPr>
        <w:t>Entidad económica</w:t>
      </w:r>
      <w:r>
        <w:t xml:space="preserve"> </w:t>
      </w:r>
    </w:p>
    <w:p w:rsidR="00A66E9C" w:rsidRDefault="0030552A">
      <w:pPr>
        <w:spacing w:after="168"/>
        <w:ind w:left="-5"/>
      </w:pPr>
      <w:r>
        <w:lastRenderedPageBreak/>
        <w:t xml:space="preserve">Es una unidad identificable que realiza actividades económicas.  </w:t>
      </w:r>
    </w:p>
    <w:p w:rsidR="00A66E9C" w:rsidRDefault="0030552A">
      <w:pPr>
        <w:numPr>
          <w:ilvl w:val="1"/>
          <w:numId w:val="4"/>
        </w:numPr>
        <w:spacing w:after="151" w:line="267" w:lineRule="auto"/>
        <w:ind w:hanging="240"/>
        <w:jc w:val="left"/>
      </w:pPr>
      <w:r>
        <w:rPr>
          <w:b/>
        </w:rPr>
        <w:t>Negocio en marcha</w:t>
      </w:r>
      <w:r>
        <w:t xml:space="preserve"> </w:t>
      </w:r>
    </w:p>
    <w:p w:rsidR="00A66E9C" w:rsidRDefault="0030552A">
      <w:pPr>
        <w:ind w:left="-5"/>
      </w:pPr>
      <w:r>
        <w:t xml:space="preserve">Se presume la existencia permanente de la entidad económica, salvo prueba en contrario.  </w:t>
      </w:r>
    </w:p>
    <w:p w:rsidR="00A66E9C" w:rsidRDefault="0030552A">
      <w:pPr>
        <w:numPr>
          <w:ilvl w:val="0"/>
          <w:numId w:val="4"/>
        </w:numPr>
        <w:ind w:hanging="360"/>
      </w:pPr>
      <w:r>
        <w:t>Normatividad supletoria. En caso de emplear varios g</w:t>
      </w:r>
      <w:r>
        <w:t xml:space="preserve">rupos de normatividades, deberá realizar la justificación razonable correspondiente, su alineación con los Postulados Básicos de Contabilidad Gubernamental (PBCG). </w:t>
      </w:r>
    </w:p>
    <w:p w:rsidR="00A66E9C" w:rsidRDefault="0030552A">
      <w:pPr>
        <w:spacing w:after="0"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Para las entidades que por primera vez estén implementando el base devengado </w:t>
      </w:r>
      <w:r>
        <w:t xml:space="preserve">de acuerdo a la Ley de Contabilidad, deberán: </w:t>
      </w:r>
    </w:p>
    <w:p w:rsidR="00A66E9C" w:rsidRDefault="0030552A">
      <w:pPr>
        <w:spacing w:after="0"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Considerar método contable que reconoce las obligaciones de pago en el momento en que ocurren, sin esperar a que se realicen los pagos.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*Revelar las nuevas políticas de reconocimiento: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5"/>
        </w:numPr>
        <w:ind w:hanging="360"/>
      </w:pPr>
      <w:r>
        <w:t>Permite reconoc</w:t>
      </w:r>
      <w:r>
        <w:t xml:space="preserve">er las obligaciones de pago a favor de terceros por la recepción de bienes, servicios y obra pública contratados </w:t>
      </w:r>
    </w:p>
    <w:p w:rsidR="00A66E9C" w:rsidRDefault="0030552A">
      <w:pPr>
        <w:numPr>
          <w:ilvl w:val="0"/>
          <w:numId w:val="5"/>
        </w:numPr>
        <w:ind w:hanging="360"/>
      </w:pPr>
      <w:r>
        <w:t xml:space="preserve">Permite reconocer las obligaciones que derivan de tratados, leyes, decretos, resoluciones y sentencias definitivas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*Plan de implementació</w:t>
      </w:r>
      <w:r>
        <w:t xml:space="preserve">n: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5"/>
        </w:numPr>
        <w:ind w:hanging="360"/>
      </w:pPr>
      <w:r>
        <w:t xml:space="preserve">Permite reconocer las obligaciones de pago a favor de terceros por la recepción de bienes, servicios contratados </w:t>
      </w:r>
    </w:p>
    <w:p w:rsidR="00A66E9C" w:rsidRDefault="0030552A">
      <w:pPr>
        <w:numPr>
          <w:ilvl w:val="0"/>
          <w:numId w:val="5"/>
        </w:numPr>
        <w:ind w:hanging="360"/>
      </w:pPr>
      <w:r>
        <w:t xml:space="preserve">Permite reconocer las obligaciones que derivan de tratados, leyes, decretos, resoluciones.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*Revelar los cambios en las políticas, la </w:t>
      </w:r>
      <w:r>
        <w:t xml:space="preserve">clasificación y medición de las mismas, así como su impacto en la información financiera: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5"/>
        </w:numPr>
        <w:ind w:hanging="360"/>
      </w:pPr>
      <w:r>
        <w:t xml:space="preserve">Se basa en el compromiso previamente formalizado y registrado  </w:t>
      </w:r>
    </w:p>
    <w:p w:rsidR="00A66E9C" w:rsidRDefault="0030552A">
      <w:pPr>
        <w:numPr>
          <w:ilvl w:val="0"/>
          <w:numId w:val="5"/>
        </w:numPr>
        <w:ind w:hanging="360"/>
      </w:pPr>
      <w:r>
        <w:t xml:space="preserve">No excede el límite del Calendario de Compromisos  </w:t>
      </w:r>
    </w:p>
    <w:p w:rsidR="00A66E9C" w:rsidRDefault="0030552A">
      <w:pPr>
        <w:numPr>
          <w:ilvl w:val="0"/>
          <w:numId w:val="5"/>
        </w:numPr>
        <w:ind w:hanging="360"/>
      </w:pPr>
      <w:r>
        <w:t>Registra los ingresos en cuanto se obtienen y l</w:t>
      </w:r>
      <w:r>
        <w:t xml:space="preserve">os gastos en cuanto se realizan  </w:t>
      </w:r>
    </w:p>
    <w:p w:rsidR="00A66E9C" w:rsidRDefault="0030552A">
      <w:pPr>
        <w:numPr>
          <w:ilvl w:val="0"/>
          <w:numId w:val="5"/>
        </w:numPr>
        <w:ind w:hanging="360"/>
      </w:pPr>
      <w:r>
        <w:t xml:space="preserve">Registra las cuentas por cobrar y las cuentas por pagar incluso si aún no se ha realizado ningún pago  </w:t>
      </w:r>
    </w:p>
    <w:p w:rsidR="00A66E9C" w:rsidRDefault="0030552A">
      <w:pPr>
        <w:spacing w:after="47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5" w:name="_Toc11436"/>
      <w:r>
        <w:t>6. Políticas de Contabilidad Significativas:</w:t>
      </w:r>
      <w:r>
        <w:rPr>
          <w:b w:val="0"/>
          <w:color w:val="2E74B5"/>
          <w:sz w:val="26"/>
        </w:rPr>
        <w:t xml:space="preserve"> </w:t>
      </w:r>
      <w:bookmarkEnd w:id="5"/>
    </w:p>
    <w:p w:rsidR="00A66E9C" w:rsidRDefault="0030552A">
      <w:pPr>
        <w:ind w:left="-5"/>
      </w:pPr>
      <w:r>
        <w:t xml:space="preserve">Los principios, bases, reglas y procedimientos específicos adoptados por el ente público en la elaboración y presentación de sus estados financieros.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El ente público aplicará sus políticas contables de manera congruente para transacciones, otros evento</w:t>
      </w:r>
      <w:r>
        <w:t xml:space="preserve">s y condiciones, Se informará sobre: </w:t>
      </w:r>
    </w:p>
    <w:p w:rsidR="00A66E9C" w:rsidRDefault="0030552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>Actualización: se informará del método utilizado para la actualización del valor de los activos, pasivos y Hacienda Pública/Patrimonio y las razones de dicha elección. Así como informar de la desconexión o reconexión</w:t>
      </w:r>
      <w:r>
        <w:t xml:space="preserve"> inflacionaria: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Costos Históricos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 xml:space="preserve">Informar sobre la realización de operaciones en el extranjero y de sus efectos en la información financiera gubernamental: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 xml:space="preserve">Esta nota no le aplica al ente público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>Método de valuación de la inversión en acciones d</w:t>
      </w:r>
      <w:r>
        <w:t xml:space="preserve">e Compañías subsidiarias no consolidadas y asociadas: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 xml:space="preserve">Esta nota no le aplica al ente público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 xml:space="preserve">Sistema y método de valuación de inventarios y costo de lo vendido: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 xml:space="preserve">Esta nota no le aplica al ente público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 xml:space="preserve">Beneficios a empleados: revelar el cálculo de la reserva actuarial, valor presente de los ingresos esperados comparado con el valor presente de la estimación de gastos tanto de los beneficiarios actuales como futuros: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</w:t>
      </w:r>
      <w:r>
        <w:rPr>
          <w:sz w:val="24"/>
        </w:rPr>
        <w:t xml:space="preserve">ico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 xml:space="preserve">Provisiones: objetivo de su creación, monto y plazo:  </w:t>
      </w:r>
    </w:p>
    <w:p w:rsidR="00A66E9C" w:rsidRDefault="0030552A">
      <w:pPr>
        <w:ind w:left="-5"/>
      </w:pPr>
      <w:r>
        <w:t xml:space="preserve">Reconocimiento del gasto a corto plazo.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 xml:space="preserve">Reservas: objetivo de su creación, monto y plazo: </w:t>
      </w:r>
    </w:p>
    <w:p w:rsidR="00A66E9C" w:rsidRDefault="0030552A">
      <w:pPr>
        <w:ind w:left="-5"/>
      </w:pPr>
      <w:r>
        <w:t xml:space="preserve">Reconocimiento de la autorización del ejercicio del gasto con pago a corto plazo.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>Cambios e</w:t>
      </w:r>
      <w:r>
        <w:t xml:space="preserve">n políticas contables y corrección de errores junto con la revelación de los efectos que se tendrá en la información financiera del ente público, ya sea retrospectivos o prospectivos: </w:t>
      </w:r>
      <w:r>
        <w:rPr>
          <w:sz w:val="24"/>
        </w:rPr>
        <w:t>Esta nota no le aplica al ente público</w:t>
      </w: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>Reclasificaciones: Se deben re</w:t>
      </w:r>
      <w:r>
        <w:t xml:space="preserve">velar todos aquellos movimientos entre cuentas por efectos de cambios en los tipos de operaciones: Se anexa informe al final.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6"/>
        </w:numPr>
        <w:ind w:hanging="238"/>
      </w:pPr>
      <w:r>
        <w:t xml:space="preserve">Depuración y cancelación de saldos: </w:t>
      </w:r>
    </w:p>
    <w:p w:rsidR="00A66E9C" w:rsidRDefault="0030552A">
      <w:pPr>
        <w:ind w:left="-5"/>
      </w:pPr>
      <w:r>
        <w:lastRenderedPageBreak/>
        <w:t>Que los estados financieros de las dependencias muestren razonablemente las cuentas de ba</w:t>
      </w:r>
      <w:r>
        <w:t xml:space="preserve">lance, Proceso mediante el cual un área de contabilidad debe examinar y analizar los saldos de las cuentas de Balance, con el propósito de identificar las cuentas que requieran ser canceladas de la contabilidad.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6" w:name="_Toc11437"/>
      <w:r>
        <w:t>7</w:t>
      </w:r>
      <w:r>
        <w:t xml:space="preserve">. Posición en Moneda Extranjera y Protección por Riesgo Cambiario: </w:t>
      </w:r>
      <w:bookmarkEnd w:id="6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Se informará sobre: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b/>
        </w:rPr>
        <w:t>a)</w:t>
      </w:r>
      <w:r>
        <w:t xml:space="preserve"> Activos en moneda extranjera:  </w:t>
      </w:r>
      <w:r>
        <w:rPr>
          <w:sz w:val="24"/>
        </w:rPr>
        <w:t>Esta nota no le aplica al ente público</w:t>
      </w:r>
      <w:r>
        <w:t xml:space="preserve"> </w:t>
      </w:r>
      <w:r>
        <w:rPr>
          <w:b/>
        </w:rPr>
        <w:t>b)</w:t>
      </w:r>
      <w:r>
        <w:t xml:space="preserve"> Pasivos en moneda extranjera: </w:t>
      </w: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ind w:left="-5" w:right="6134"/>
      </w:pPr>
      <w:r>
        <w:rPr>
          <w:b/>
        </w:rPr>
        <w:t xml:space="preserve">c) </w:t>
      </w:r>
      <w:r>
        <w:t xml:space="preserve">Posición en moneda extranjera: </w:t>
      </w:r>
      <w:r>
        <w:rPr>
          <w:sz w:val="24"/>
        </w:rPr>
        <w:t>Esta nota no le aplica al ente público</w:t>
      </w:r>
      <w:r>
        <w:rPr>
          <w:b/>
        </w:rPr>
        <w:t xml:space="preserve">  d)</w:t>
      </w:r>
      <w:r>
        <w:t xml:space="preserve"> Tipo de cambio: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e) </w:t>
      </w:r>
      <w:r>
        <w:t xml:space="preserve">Equivalente en moneda nacional: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t xml:space="preserve">  </w:t>
      </w:r>
    </w:p>
    <w:p w:rsidR="00A66E9C" w:rsidRDefault="0030552A">
      <w:pPr>
        <w:ind w:left="-5"/>
      </w:pPr>
      <w:r>
        <w:t>Lo anterior por cada tipo de moneda extranjera q</w:t>
      </w:r>
      <w:r>
        <w:t xml:space="preserve">ue se encuentre en los rubros de activo y pasivo. </w:t>
      </w:r>
    </w:p>
    <w:p w:rsidR="00A66E9C" w:rsidRDefault="0030552A">
      <w:pPr>
        <w:ind w:left="-5"/>
      </w:pPr>
      <w:r>
        <w:t xml:space="preserve">Adicionalmente se informará sobre los métodos de protección de riesgo por variaciones en el tipo de cambio.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7" w:name="_Toc11438"/>
      <w:r>
        <w:t xml:space="preserve">8. Reporte Analítico del Activo: </w:t>
      </w:r>
      <w:bookmarkEnd w:id="7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Debe mostrar la siguiente información: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7"/>
        </w:numPr>
        <w:ind w:hanging="238"/>
      </w:pPr>
      <w:r>
        <w:t>Vida útil o porc</w:t>
      </w:r>
      <w:r>
        <w:t xml:space="preserve">entajes de depreciación, deterioro o amortización utilizados en los diferentes tipos de activos: </w:t>
      </w:r>
    </w:p>
    <w:p w:rsidR="00A66E9C" w:rsidRDefault="0030552A">
      <w:pPr>
        <w:ind w:left="-5" w:right="6037"/>
      </w:pPr>
      <w:r>
        <w:t xml:space="preserve">30% anual para equipo de cómputo  10% para los demás bienes. </w:t>
      </w:r>
    </w:p>
    <w:p w:rsidR="00A66E9C" w:rsidRDefault="0030552A">
      <w:pPr>
        <w:spacing w:after="3" w:line="259" w:lineRule="auto"/>
        <w:ind w:left="0" w:firstLine="0"/>
        <w:jc w:val="left"/>
      </w:pPr>
      <w:r>
        <w:t xml:space="preserve">  </w:t>
      </w:r>
    </w:p>
    <w:p w:rsidR="00A66E9C" w:rsidRDefault="0030552A">
      <w:pPr>
        <w:numPr>
          <w:ilvl w:val="0"/>
          <w:numId w:val="7"/>
        </w:numPr>
        <w:ind w:hanging="238"/>
      </w:pPr>
      <w:r>
        <w:t>Cambios en el porcentaje de depreciación o valor residual de los activos:</w:t>
      </w:r>
      <w:r>
        <w:rPr>
          <w:rFonts w:ascii="Arial" w:eastAsia="Arial" w:hAnsi="Arial" w:cs="Arial"/>
          <w:color w:val="CDCDCD"/>
          <w:sz w:val="21"/>
        </w:rPr>
        <w:t xml:space="preserve">  </w:t>
      </w:r>
    </w:p>
    <w:p w:rsidR="00A66E9C" w:rsidRDefault="0030552A">
      <w:pPr>
        <w:ind w:left="-5"/>
      </w:pPr>
      <w:r>
        <w:t xml:space="preserve">se informa que no se realizaron cambios en el porcentaje de deducción de activos.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7"/>
        </w:numPr>
        <w:ind w:hanging="238"/>
      </w:pPr>
      <w:r>
        <w:t>Importe de los gastos capitalizados en el ejercicio, tanto financieros como de investigación y desarrollo: Esta nota no le aplica al ente público</w:t>
      </w:r>
      <w:r>
        <w:rPr>
          <w:b/>
        </w:rP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7"/>
        </w:numPr>
        <w:ind w:hanging="238"/>
      </w:pPr>
      <w:r>
        <w:t>Riesgos por tipo de ca</w:t>
      </w:r>
      <w:r>
        <w:t xml:space="preserve">mbio o tipo de interés de las inversiones financieras: Esta nota no le aplica al ente público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7"/>
        </w:numPr>
        <w:ind w:hanging="238"/>
      </w:pPr>
      <w:r>
        <w:t xml:space="preserve">Valor activado en el ejercicio de los bienes construidos por la entidad: </w:t>
      </w:r>
      <w:r>
        <w:rPr>
          <w:sz w:val="24"/>
        </w:rPr>
        <w:t xml:space="preserve">Esta nota no le aplica al ente público </w:t>
      </w:r>
    </w:p>
    <w:p w:rsidR="00A66E9C" w:rsidRDefault="0030552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66E9C" w:rsidRDefault="0030552A">
      <w:pPr>
        <w:numPr>
          <w:ilvl w:val="0"/>
          <w:numId w:val="7"/>
        </w:numPr>
        <w:ind w:hanging="238"/>
      </w:pPr>
      <w:r>
        <w:lastRenderedPageBreak/>
        <w:t>Otras circunstancias de carácter significati</w:t>
      </w:r>
      <w:r>
        <w:t xml:space="preserve">vo que afecten el activo, tales como bienes en garantía, señalados en embargos, litigios, títulos de inversiones entregados en garantías, baja significativa del valor de inversiones financieras, etc.: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numPr>
          <w:ilvl w:val="0"/>
          <w:numId w:val="7"/>
        </w:numPr>
        <w:ind w:hanging="238"/>
      </w:pPr>
      <w:r>
        <w:t>Desmantelamie</w:t>
      </w:r>
      <w:r>
        <w:t xml:space="preserve">nto de Activos, procedimientos, implicaciones, efectos contables: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numPr>
          <w:ilvl w:val="0"/>
          <w:numId w:val="7"/>
        </w:numPr>
        <w:ind w:hanging="238"/>
      </w:pPr>
      <w:r>
        <w:t xml:space="preserve">Administración de activos; planeación con el objetivo de que el ente los utilice de manera más efectiva: </w:t>
      </w:r>
      <w:r>
        <w:rPr>
          <w:sz w:val="24"/>
        </w:rPr>
        <w:t>Esta nota no le aplica al ente público</w:t>
      </w:r>
      <w:r>
        <w:t xml:space="preserve">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Adicionalmente, se deben incluir las explicaciones de las principales variaciones en el activo, en cuadros comparativos como sigue: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8"/>
        </w:numPr>
        <w:ind w:hanging="238"/>
      </w:pPr>
      <w:r>
        <w:t xml:space="preserve">Inversiones en valores: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numPr>
          <w:ilvl w:val="0"/>
          <w:numId w:val="8"/>
        </w:numPr>
        <w:ind w:hanging="238"/>
      </w:pPr>
      <w:r>
        <w:t xml:space="preserve">Patrimonio de Organismos descentralizados de Control Presupuestario Indirecto: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t xml:space="preserve"> </w:t>
      </w:r>
    </w:p>
    <w:p w:rsidR="00A66E9C" w:rsidRDefault="0030552A">
      <w:pPr>
        <w:numPr>
          <w:ilvl w:val="0"/>
          <w:numId w:val="8"/>
        </w:numPr>
        <w:ind w:hanging="238"/>
      </w:pPr>
      <w:r>
        <w:t xml:space="preserve">Inversiones en empresas de participación mayoritaria: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numPr>
          <w:ilvl w:val="0"/>
          <w:numId w:val="8"/>
        </w:numPr>
        <w:ind w:hanging="238"/>
      </w:pPr>
      <w:r>
        <w:t xml:space="preserve">Inversiones en empresas de participación minoritaria: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numPr>
          <w:ilvl w:val="0"/>
          <w:numId w:val="8"/>
        </w:numPr>
        <w:ind w:hanging="238"/>
      </w:pPr>
      <w:r>
        <w:t xml:space="preserve">Patrimonio de organismos descentralizados de control presupuestario directo, según corresponda: </w:t>
      </w:r>
      <w:r>
        <w:rPr>
          <w:sz w:val="24"/>
        </w:rPr>
        <w:t xml:space="preserve">Esta nota no le aplica al ente público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8" w:name="_Toc11439"/>
      <w:r>
        <w:t>9. Fideicomisos, Manda</w:t>
      </w:r>
      <w:r>
        <w:t xml:space="preserve">tos y Análogos: </w:t>
      </w:r>
      <w:bookmarkEnd w:id="8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Se deberá informar: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9"/>
        </w:numPr>
        <w:ind w:hanging="228"/>
      </w:pPr>
      <w:r>
        <w:t xml:space="preserve">Por ramo administrativo que los reporta: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t xml:space="preserve"> </w:t>
      </w:r>
    </w:p>
    <w:p w:rsidR="00A66E9C" w:rsidRDefault="0030552A">
      <w:pPr>
        <w:numPr>
          <w:ilvl w:val="0"/>
          <w:numId w:val="9"/>
        </w:numPr>
        <w:ind w:hanging="228"/>
      </w:pPr>
      <w:r>
        <w:t xml:space="preserve">Enlistar los de mayor monto de disponibilidad, relacionando aquéllos que conforman el 80% de las disponibilidades: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 xml:space="preserve">Esta nota no le </w:t>
      </w:r>
      <w:r>
        <w:rPr>
          <w:sz w:val="24"/>
        </w:rPr>
        <w:t xml:space="preserve">aplica al ente público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9" w:name="_Toc11440"/>
      <w:r>
        <w:t xml:space="preserve">10. Reporte de la Recaudación: </w:t>
      </w:r>
      <w:bookmarkEnd w:id="9"/>
    </w:p>
    <w:p w:rsidR="00A66E9C" w:rsidRDefault="0030552A">
      <w:pPr>
        <w:ind w:left="-5"/>
      </w:pPr>
      <w:r>
        <w:rPr>
          <w:b/>
        </w:rPr>
        <w:t>a)</w:t>
      </w:r>
      <w:r>
        <w:t xml:space="preserve"> Análisis del comportamiento de la recaudación correspondiente al ente público o cualquier tipo de ingreso, de forma separada los ingresos locales de los federales: </w:t>
      </w:r>
    </w:p>
    <w:p w:rsidR="00A66E9C" w:rsidRDefault="0030552A">
      <w:pPr>
        <w:ind w:left="-5" w:right="2009"/>
      </w:pPr>
      <w:r>
        <w:t xml:space="preserve">Subsidio mensual por parte del municipio se ha recaudado conforme a lo pactado.   </w:t>
      </w:r>
      <w:r>
        <w:rPr>
          <w:b/>
        </w:rPr>
        <w:t>b)</w:t>
      </w:r>
      <w:r>
        <w:t xml:space="preserve"> Proyección de la recaudación e ingresos en el mediano plazo: </w:t>
      </w:r>
    </w:p>
    <w:p w:rsidR="00A66E9C" w:rsidRDefault="0030552A">
      <w:pPr>
        <w:ind w:left="-5"/>
      </w:pPr>
      <w:r>
        <w:t xml:space="preserve"> Se proyecta una disminución en la recaudación de ingresos propios debido al cierre de Deportiva Sur por las </w:t>
      </w:r>
      <w:r>
        <w:t xml:space="preserve">fiestas de fundación. 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0" w:name="_Toc11441"/>
      <w:r>
        <w:lastRenderedPageBreak/>
        <w:t xml:space="preserve">11. Información sobre la Deuda y el Reporte Analítico de la Deuda: </w:t>
      </w:r>
      <w:bookmarkEnd w:id="10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10"/>
        </w:numPr>
      </w:pPr>
      <w:r>
        <w:t xml:space="preserve">Utilizar al menos los siguientes indicadores: deuda respecto al PIB y deuda respecto a la recaudación tomando, como mínimo, un período igual o menor a 5 años.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>Esta nota no le aplica al ente público</w:t>
      </w:r>
      <w:r>
        <w:rPr>
          <w:b/>
        </w:rPr>
        <w:t xml:space="preserve">  </w:t>
      </w:r>
    </w:p>
    <w:p w:rsidR="00A66E9C" w:rsidRDefault="0030552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66E9C" w:rsidRDefault="0030552A">
      <w:pPr>
        <w:numPr>
          <w:ilvl w:val="0"/>
          <w:numId w:val="10"/>
        </w:numPr>
      </w:pPr>
      <w:r>
        <w:t xml:space="preserve">Información de manera agrupada por tipo de valor gubernamental o instrumento financiero en la que se consideren intereses, comisiones, tasa, perfil de vencimiento y otros gastos de la deuda.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1" w:name="_Toc11442"/>
      <w:r>
        <w:t xml:space="preserve">12. Calificaciones </w:t>
      </w:r>
      <w:r>
        <w:t xml:space="preserve">otorgadas: </w:t>
      </w:r>
      <w:bookmarkEnd w:id="11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Informar, tanto del ente público como cualquier transacción realizada, que haya sido sujeta a una calificación crediticia: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222"/>
        <w:ind w:left="-5" w:right="6329"/>
      </w:pPr>
      <w:r>
        <w:t>Esta nota no le aplica al ente público</w:t>
      </w:r>
      <w:r>
        <w:rPr>
          <w:b/>
        </w:rPr>
        <w:t xml:space="preserve">  </w:t>
      </w:r>
      <w:r>
        <w:t xml:space="preserve"> </w:t>
      </w:r>
    </w:p>
    <w:p w:rsidR="00A66E9C" w:rsidRDefault="0030552A">
      <w:pPr>
        <w:pStyle w:val="Ttulo2"/>
        <w:ind w:left="-5"/>
      </w:pPr>
      <w:bookmarkStart w:id="12" w:name="_Toc11443"/>
      <w:r>
        <w:t xml:space="preserve">13. Proceso de Mejora: </w:t>
      </w:r>
      <w:bookmarkEnd w:id="12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Se informará de: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11"/>
        </w:numPr>
        <w:ind w:hanging="238"/>
      </w:pPr>
      <w:r>
        <w:t xml:space="preserve">Principales Políticas de control interno: </w:t>
      </w:r>
    </w:p>
    <w:p w:rsidR="00A66E9C" w:rsidRDefault="0030552A">
      <w:pPr>
        <w:spacing w:after="168"/>
        <w:ind w:left="-5"/>
      </w:pPr>
      <w:r>
        <w:rPr>
          <w:b/>
        </w:rPr>
        <w:t xml:space="preserve">Las políticas de control interno </w:t>
      </w:r>
      <w:r>
        <w:t xml:space="preserve">contable son un conjunto de procedimientos y normas que garantizan que la información financiera sea confiable y precisa.  </w:t>
      </w:r>
    </w:p>
    <w:p w:rsidR="00A66E9C" w:rsidRDefault="0030552A">
      <w:pPr>
        <w:ind w:left="-5"/>
      </w:pPr>
      <w:r>
        <w:t xml:space="preserve">Objetivos de las políticas de control interno contable 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Proteger los activos de la empresa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Evitar fraudes y errores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Cumplir con las leyes y reglamentos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Garantizar la eficiencia y eficacia de las operaciones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Asegurar que los cambios en el sistema contable sean controlados y rastreables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Evitar que los cambios comprometan la integridad de la información financiera. </w:t>
      </w:r>
    </w:p>
    <w:p w:rsidR="00A66E9C" w:rsidRDefault="0030552A">
      <w:pPr>
        <w:spacing w:after="0" w:line="259" w:lineRule="auto"/>
        <w:ind w:left="720" w:firstLine="0"/>
        <w:jc w:val="left"/>
      </w:pPr>
      <w:r>
        <w:t xml:space="preserve"> </w:t>
      </w:r>
    </w:p>
    <w:p w:rsidR="00A66E9C" w:rsidRDefault="0030552A">
      <w:pPr>
        <w:numPr>
          <w:ilvl w:val="0"/>
          <w:numId w:val="11"/>
        </w:numPr>
        <w:ind w:hanging="238"/>
      </w:pPr>
      <w:r>
        <w:t xml:space="preserve">Medidas de desempeño financiero, metas y alcance: </w:t>
      </w:r>
    </w:p>
    <w:p w:rsidR="00A66E9C" w:rsidRDefault="0030552A">
      <w:pPr>
        <w:ind w:left="-5"/>
      </w:pPr>
      <w:r>
        <w:t>Indicadores que permiten evaluar el bienestar económico de una empresa. Estas medidas se pueden utilizar para establecer me</w:t>
      </w:r>
      <w:r>
        <w:t xml:space="preserve">tas y alcanzarlas.  </w:t>
      </w:r>
    </w:p>
    <w:p w:rsidR="00A66E9C" w:rsidRDefault="0030552A">
      <w:pPr>
        <w:ind w:left="-5"/>
      </w:pPr>
      <w:r>
        <w:t xml:space="preserve">Medidas de desempeño financiero 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Balance financiero: Relación entre ingresos y gastos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Endeudamiento: Proporción de financiamiento de terceros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Rentabilidad: Relación entre utilidades, ingresos, egresos e impuestos </w:t>
      </w:r>
    </w:p>
    <w:p w:rsidR="00A66E9C" w:rsidRDefault="0030552A">
      <w:pPr>
        <w:numPr>
          <w:ilvl w:val="1"/>
          <w:numId w:val="11"/>
        </w:numPr>
        <w:ind w:hanging="360"/>
      </w:pPr>
      <w:r>
        <w:t>Liquidez: Capacida</w:t>
      </w:r>
      <w:r>
        <w:t xml:space="preserve">d de cubrir obligaciones a corto plazo </w:t>
      </w:r>
    </w:p>
    <w:p w:rsidR="00A66E9C" w:rsidRDefault="0030552A">
      <w:pPr>
        <w:numPr>
          <w:ilvl w:val="1"/>
          <w:numId w:val="11"/>
        </w:numPr>
        <w:ind w:hanging="360"/>
      </w:pPr>
      <w:r>
        <w:t xml:space="preserve">Rendimientos por inversión: Porcentaje de ganancias por el capital invertido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3" w:name="_Toc11444"/>
      <w:r>
        <w:t xml:space="preserve">14. Información por Segmentos: </w:t>
      </w:r>
      <w:bookmarkEnd w:id="13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lastRenderedPageBreak/>
        <w:t>Cuando se considere necesario se podrá revelar la información financiera de manera segmentada debido a la diversidad de las actividades y operaciones que realizan los entes públicos, ya que la misma proporciona información acerca de las diferentes activida</w:t>
      </w:r>
      <w:r>
        <w:t>des operativas en las cuales participa, de los productos o servicios que maneja, de las diferentes áreas geográficas, de los grupos homogéneos con el objetivo de entender el desempeño del ente, evaluar mejor los riesgos y beneficios del mismo; y entenderlo</w:t>
      </w:r>
      <w:r>
        <w:t xml:space="preserve"> como un todo y sus partes integrantes.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 xml:space="preserve">Consecuentemente, esta información contribuye al análisis más preciso de la situación financiera, grados y fuentes de riesgo y crecimiento potencial de negocio.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 xml:space="preserve">Esta nota no le aplica al ente público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4" w:name="_Toc11445"/>
      <w:r>
        <w:t>15. Eve</w:t>
      </w:r>
      <w:r>
        <w:t xml:space="preserve">ntos Posteriores al Cierre: </w:t>
      </w:r>
      <w:bookmarkEnd w:id="14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El ente público informará el efecto en sus estados financieros de aquellos hechos ocurridos en el período posterior al que informa, que proporcionan mayor evidencia sobre eventos que le afectan económicamente y que no se cono</w:t>
      </w:r>
      <w:r>
        <w:t xml:space="preserve">cían a la fecha de cierre.  Sin información que revelar durante el periodo 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5" w:name="_Toc11446"/>
      <w:r>
        <w:t xml:space="preserve">16. Partes Relacionadas: </w:t>
      </w:r>
      <w:bookmarkEnd w:id="15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Se debe establecer por escrito que no existen partes relacionadas que pudieran ejercer influencia significativa sobre la toma de decisiones financi</w:t>
      </w:r>
      <w:r>
        <w:t xml:space="preserve">eras y operativas: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12" w:line="249" w:lineRule="auto"/>
        <w:ind w:left="-5" w:right="6068"/>
        <w:jc w:val="left"/>
      </w:pPr>
      <w:r>
        <w:rPr>
          <w:sz w:val="24"/>
        </w:rPr>
        <w:t xml:space="preserve">Esta nota no le aplica al ente público </w:t>
      </w:r>
    </w:p>
    <w:p w:rsidR="00A66E9C" w:rsidRDefault="0030552A">
      <w:pPr>
        <w:spacing w:after="19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pStyle w:val="Ttulo2"/>
        <w:ind w:left="-5"/>
      </w:pPr>
      <w:bookmarkStart w:id="16" w:name="_Toc11447"/>
      <w:r>
        <w:t xml:space="preserve">17. Responsabilidad Sobre la Presentación Razonable de la Información Contable: </w:t>
      </w:r>
      <w:bookmarkEnd w:id="16"/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ind w:left="-5"/>
      </w:pPr>
      <w:r>
        <w:t>La Información Contable está firmada en cada página de la misma y se incluye al final la siguiente leyenda: “</w:t>
      </w:r>
      <w:r>
        <w:t xml:space="preserve">Bajo protesta de decir verdad declaramos que los Estados Financieros y sus notas, son razonablemente correctos y son responsabilidad del emisor”. Lo anterior, no es aplicable para la información contable consolidada. </w:t>
      </w:r>
    </w:p>
    <w:p w:rsidR="00A66E9C" w:rsidRDefault="0030552A">
      <w:pPr>
        <w:spacing w:after="0" w:line="259" w:lineRule="auto"/>
        <w:ind w:left="0" w:firstLine="0"/>
        <w:jc w:val="left"/>
      </w:pPr>
      <w:r>
        <w:t xml:space="preserve"> </w:t>
      </w:r>
    </w:p>
    <w:p w:rsidR="00A66E9C" w:rsidRDefault="0030552A">
      <w:pPr>
        <w:spacing w:after="0" w:line="240" w:lineRule="auto"/>
        <w:ind w:left="0" w:right="12" w:firstLine="0"/>
      </w:pPr>
      <w:r>
        <w:rPr>
          <w:b/>
          <w:sz w:val="24"/>
        </w:rPr>
        <w:t>Nota 1</w:t>
      </w:r>
      <w:r>
        <w:rPr>
          <w:sz w:val="24"/>
        </w:rPr>
        <w:t xml:space="preserve">: En cada una de las 16 notas de gestión administrativa el ente público deberá poner la nota correspondiente o en su caso la leyenda “Esta nota no le aplica al ente público” y una breve explicación del motivo por el cual no le es aplicable. </w:t>
      </w:r>
    </w:p>
    <w:sectPr w:rsidR="00A66E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17" w:right="1127" w:bottom="1664" w:left="1419" w:header="749" w:footer="8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552A">
      <w:pPr>
        <w:spacing w:after="0" w:line="240" w:lineRule="auto"/>
      </w:pPr>
      <w:r>
        <w:separator/>
      </w:r>
    </w:p>
  </w:endnote>
  <w:endnote w:type="continuationSeparator" w:id="0">
    <w:p w:rsidR="00000000" w:rsidRDefault="00305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9C" w:rsidRDefault="0030552A">
    <w:pPr>
      <w:spacing w:after="218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66E9C" w:rsidRDefault="0030552A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9C" w:rsidRDefault="0030552A">
    <w:pPr>
      <w:spacing w:after="218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:rsidR="00A66E9C" w:rsidRDefault="0030552A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9C" w:rsidRDefault="0030552A">
    <w:pPr>
      <w:spacing w:after="218"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66E9C" w:rsidRDefault="0030552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552A">
      <w:pPr>
        <w:spacing w:after="0" w:line="240" w:lineRule="auto"/>
      </w:pPr>
      <w:r>
        <w:separator/>
      </w:r>
    </w:p>
  </w:footnote>
  <w:footnote w:type="continuationSeparator" w:id="0">
    <w:p w:rsidR="00000000" w:rsidRDefault="00305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9C" w:rsidRDefault="0030552A">
    <w:pPr>
      <w:spacing w:after="0" w:line="239" w:lineRule="auto"/>
      <w:ind w:left="1013" w:right="966" w:firstLine="0"/>
      <w:jc w:val="center"/>
    </w:pPr>
    <w:r>
      <w:t xml:space="preserve">Comisión Municipal del deporte de Santa Cruz de Juventino Rosas CORRESPONDINTES DEL 01 DE ENERO AL 31 DE DICIEMBRE 2026 </w:t>
    </w:r>
  </w:p>
  <w:p w:rsidR="00A66E9C" w:rsidRDefault="0030552A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9C" w:rsidRDefault="0030552A">
    <w:pPr>
      <w:spacing w:after="0" w:line="239" w:lineRule="auto"/>
      <w:ind w:left="1013" w:right="966" w:firstLine="0"/>
      <w:jc w:val="center"/>
    </w:pPr>
    <w:r>
      <w:t xml:space="preserve">Comisión Municipal del deporte de Santa Cruz de Juventino Rosas </w:t>
    </w:r>
    <w:r>
      <w:t xml:space="preserve">CORRESPONDINTES DEL 01 DE ENERO AL 31 DE DICIEMBRE 2026 </w:t>
    </w:r>
  </w:p>
  <w:p w:rsidR="00A66E9C" w:rsidRDefault="0030552A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E9C" w:rsidRDefault="0030552A">
    <w:pPr>
      <w:spacing w:after="0" w:line="239" w:lineRule="auto"/>
      <w:ind w:left="1013" w:right="966" w:firstLine="0"/>
      <w:jc w:val="center"/>
    </w:pPr>
    <w:r>
      <w:t xml:space="preserve">Comisión Municipal del deporte de Santa Cruz de Juventino Rosas CORRESPONDINTES DEL 01 DE ENERO AL 31 DE DICIEMBRE 2026 </w:t>
    </w:r>
  </w:p>
  <w:p w:rsidR="00A66E9C" w:rsidRDefault="0030552A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4A2B"/>
    <w:multiLevelType w:val="hybridMultilevel"/>
    <w:tmpl w:val="4C6E6548"/>
    <w:lvl w:ilvl="0" w:tplc="0A7C9912">
      <w:start w:val="1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69F3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14B3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C899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7E90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C4F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2E82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4DD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7E9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3605D2"/>
    <w:multiLevelType w:val="hybridMultilevel"/>
    <w:tmpl w:val="F3940C10"/>
    <w:lvl w:ilvl="0" w:tplc="0A0608E8">
      <w:start w:val="1"/>
      <w:numFmt w:val="lowerLetter"/>
      <w:lvlText w:val="%1)"/>
      <w:lvlJc w:val="left"/>
      <w:pPr>
        <w:ind w:left="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8B3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181F5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C61B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FC72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E8D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6D7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648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863F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A2952"/>
    <w:multiLevelType w:val="hybridMultilevel"/>
    <w:tmpl w:val="F0EE751E"/>
    <w:lvl w:ilvl="0" w:tplc="6F34A3D0">
      <w:start w:val="4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D69C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1C7AB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4A9C7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0C5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615B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38AFE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CF9A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0D94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5879D1"/>
    <w:multiLevelType w:val="hybridMultilevel"/>
    <w:tmpl w:val="13C276F2"/>
    <w:lvl w:ilvl="0" w:tplc="7BBA054A">
      <w:start w:val="1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E8D7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CF0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7EB1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8B9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4CE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E8D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C4C6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614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DE0B34"/>
    <w:multiLevelType w:val="hybridMultilevel"/>
    <w:tmpl w:val="F8A0DCE6"/>
    <w:lvl w:ilvl="0" w:tplc="042A3A7A">
      <w:start w:val="1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0EAD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2A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EEAEA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475B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6C199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8D13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585F1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D0831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A257C9"/>
    <w:multiLevelType w:val="hybridMultilevel"/>
    <w:tmpl w:val="FF589014"/>
    <w:lvl w:ilvl="0" w:tplc="E4F050EE">
      <w:start w:val="1"/>
      <w:numFmt w:val="lowerLetter"/>
      <w:lvlText w:val="%1)"/>
      <w:lvlJc w:val="left"/>
      <w:pPr>
        <w:ind w:left="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8C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0E68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A03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0A8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4610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4E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3AC0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A96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1F3F7B"/>
    <w:multiLevelType w:val="hybridMultilevel"/>
    <w:tmpl w:val="0E4AA412"/>
    <w:lvl w:ilvl="0" w:tplc="E1D8DD20">
      <w:start w:val="1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D836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0E5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EA3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94D3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6039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A8B2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1414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7840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BB5C12"/>
    <w:multiLevelType w:val="hybridMultilevel"/>
    <w:tmpl w:val="B28EA192"/>
    <w:lvl w:ilvl="0" w:tplc="CB86726C">
      <w:start w:val="1"/>
      <w:numFmt w:val="lowerLetter"/>
      <w:lvlText w:val="%1)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C23E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D47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A88B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5A8A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B48D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60C0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C21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3A28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2B0548"/>
    <w:multiLevelType w:val="hybridMultilevel"/>
    <w:tmpl w:val="A7785AD2"/>
    <w:lvl w:ilvl="0" w:tplc="AB568B76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366052">
      <w:start w:val="1"/>
      <w:numFmt w:val="upperRoman"/>
      <w:lvlText w:val="%2"/>
      <w:lvlJc w:val="left"/>
      <w:pPr>
        <w:ind w:left="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6D97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6004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C5F6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A164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E6C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4786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1A7696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937F5"/>
    <w:multiLevelType w:val="hybridMultilevel"/>
    <w:tmpl w:val="F4BC8CD4"/>
    <w:lvl w:ilvl="0" w:tplc="4D7E53E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AB1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E4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FED56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B673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E55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CBE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E00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6C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79249F"/>
    <w:multiLevelType w:val="hybridMultilevel"/>
    <w:tmpl w:val="54ACA65C"/>
    <w:lvl w:ilvl="0" w:tplc="91FC07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305A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C0D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D2E5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0007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A9E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70BB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86E9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E4A7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9C"/>
    <w:rsid w:val="0030552A"/>
    <w:rsid w:val="00A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61F98F-AC9F-4404-8698-2BA83B12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2E74B5"/>
      <w:sz w:val="3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" w:line="267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2E74B5"/>
      <w:sz w:val="32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paragraph" w:styleId="TDC1">
    <w:name w:val="toc 1"/>
    <w:hidden/>
    <w:pPr>
      <w:spacing w:after="64" w:line="254" w:lineRule="auto"/>
      <w:ind w:left="20" w:right="23" w:hanging="5"/>
    </w:pPr>
    <w:rPr>
      <w:rFonts w:ascii="Calibri" w:eastAsia="Calibri" w:hAnsi="Calibri" w:cs="Calibri"/>
      <w:color w:val="000000"/>
    </w:rPr>
  </w:style>
  <w:style w:type="paragraph" w:styleId="TDC2">
    <w:name w:val="toc 2"/>
    <w:hidden/>
    <w:pPr>
      <w:spacing w:after="127" w:line="248" w:lineRule="auto"/>
      <w:ind w:left="246" w:right="23" w:hanging="10"/>
      <w:jc w:val="both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2604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Administrativo</cp:lastModifiedBy>
  <cp:revision>2</cp:revision>
  <dcterms:created xsi:type="dcterms:W3CDTF">2026-04-29T19:23:00Z</dcterms:created>
  <dcterms:modified xsi:type="dcterms:W3CDTF">2026-04-29T19:23:00Z</dcterms:modified>
</cp:coreProperties>
</file>